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FA3F">
      <w:pPr>
        <w:spacing w:line="360" w:lineRule="auto"/>
        <w:jc w:val="center"/>
        <w:rPr>
          <w:rFonts w:ascii="宋体" w:hAnsi="宋体" w:cs="宋体"/>
          <w:b/>
          <w:bCs/>
          <w:color w:val="000000"/>
          <w:spacing w:val="16"/>
          <w:sz w:val="32"/>
          <w:szCs w:val="32"/>
        </w:rPr>
      </w:pPr>
      <w:r>
        <w:rPr>
          <w:rFonts w:hint="eastAsia" w:ascii="宋体" w:hAnsi="宋体" w:cs="宋体"/>
          <w:b/>
          <w:bCs/>
          <w:color w:val="000000"/>
          <w:spacing w:val="16"/>
          <w:sz w:val="32"/>
          <w:szCs w:val="32"/>
          <w:u w:val="single"/>
          <w:lang w:val="zh-TW"/>
        </w:rPr>
        <w:t>中国儿童生长激素长期疗效及安全性评估项目—一项开放、多中心、前瞻性与回顾性的观察性研究</w:t>
      </w:r>
      <w:r>
        <w:rPr>
          <w:rFonts w:hint="eastAsia" w:ascii="宋体" w:hAnsi="宋体" w:cs="宋体"/>
          <w:b/>
          <w:bCs/>
          <w:color w:val="000000"/>
          <w:spacing w:val="16"/>
          <w:sz w:val="32"/>
          <w:szCs w:val="32"/>
        </w:rPr>
        <w:t>项目</w:t>
      </w:r>
    </w:p>
    <w:p w14:paraId="02E89435">
      <w:pPr>
        <w:spacing w:line="360" w:lineRule="auto"/>
        <w:jc w:val="center"/>
        <w:rPr>
          <w:rFonts w:ascii="宋体" w:hAnsi="宋体" w:cs="宋体"/>
          <w:b/>
          <w:bCs/>
          <w:color w:val="000000"/>
          <w:spacing w:val="16"/>
          <w:sz w:val="32"/>
          <w:szCs w:val="32"/>
        </w:rPr>
      </w:pPr>
      <w:r>
        <w:rPr>
          <w:rFonts w:hint="eastAsia" w:ascii="宋体" w:hAnsi="宋体" w:cs="宋体"/>
          <w:b/>
          <w:bCs/>
          <w:color w:val="000000"/>
          <w:spacing w:val="16"/>
          <w:sz w:val="32"/>
          <w:szCs w:val="32"/>
        </w:rPr>
        <w:t>专项申请书</w:t>
      </w:r>
    </w:p>
    <w:p w14:paraId="1CC4DB24">
      <w:pPr>
        <w:adjustRightInd w:val="0"/>
        <w:snapToGrid w:val="0"/>
        <w:spacing w:line="800" w:lineRule="exact"/>
        <w:ind w:firstLine="624" w:firstLineChars="200"/>
        <w:rPr>
          <w:rFonts w:ascii="宋体" w:hAnsi="宋体" w:cs="宋体"/>
          <w:b/>
          <w:bCs/>
          <w:color w:val="000000"/>
          <w:spacing w:val="16"/>
          <w:sz w:val="28"/>
          <w:szCs w:val="28"/>
        </w:rPr>
      </w:pPr>
    </w:p>
    <w:p w14:paraId="38AA079D">
      <w:pPr>
        <w:adjustRightInd w:val="0"/>
        <w:snapToGrid w:val="0"/>
        <w:spacing w:line="800" w:lineRule="exact"/>
        <w:ind w:left="1878" w:leftChars="300" w:hanging="1248" w:hangingChars="400"/>
        <w:jc w:val="left"/>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项目课题名称：</w:t>
      </w:r>
      <w:r>
        <w:rPr>
          <w:rFonts w:hint="eastAsia" w:ascii="宋体" w:hAnsi="宋体" w:cs="宋体"/>
          <w:b/>
          <w:bCs/>
          <w:color w:val="000000"/>
          <w:sz w:val="28"/>
          <w:szCs w:val="28"/>
          <w:u w:val="single"/>
        </w:rPr>
        <w:t xml:space="preserve"> </w:t>
      </w:r>
      <w:bookmarkStart w:id="0" w:name="_Hlk132807935"/>
      <w:r>
        <w:rPr>
          <w:rFonts w:hint="eastAsia" w:ascii="宋体" w:hAnsi="宋体" w:cs="宋体"/>
          <w:b/>
          <w:bCs/>
          <w:color w:val="000000"/>
          <w:sz w:val="28"/>
          <w:szCs w:val="28"/>
          <w:u w:val="single"/>
          <w:lang w:val="zh-TW"/>
        </w:rPr>
        <w:t>中国儿童生长激素长期疗效及安全性评估项目—</w:t>
      </w:r>
      <w:r>
        <w:rPr>
          <w:rFonts w:hint="eastAsia" w:ascii="宋体" w:hAnsi="宋体" w:cs="宋体"/>
          <w:b/>
          <w:bCs/>
          <w:color w:val="000000"/>
          <w:sz w:val="28"/>
          <w:szCs w:val="28"/>
          <w:u w:val="single"/>
        </w:rPr>
        <w:t>一项</w:t>
      </w:r>
      <w:r>
        <w:rPr>
          <w:rFonts w:hint="eastAsia" w:ascii="宋体" w:hAnsi="宋体" w:cs="宋体"/>
          <w:b/>
          <w:bCs/>
          <w:color w:val="000000"/>
          <w:sz w:val="28"/>
          <w:szCs w:val="28"/>
          <w:u w:val="single"/>
          <w:lang w:val="zh-TW"/>
        </w:rPr>
        <w:t>开放、多中心、前瞻性与回顾性的观察性研究</w:t>
      </w:r>
      <w:bookmarkEnd w:id="0"/>
    </w:p>
    <w:p w14:paraId="48D57B93">
      <w:pPr>
        <w:adjustRightInd w:val="0"/>
        <w:snapToGrid w:val="0"/>
        <w:spacing w:line="800" w:lineRule="exact"/>
        <w:ind w:firstLine="624"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项目编号：</w:t>
      </w:r>
      <w:r>
        <w:rPr>
          <w:rFonts w:hint="eastAsia" w:ascii="宋体" w:hAnsi="宋体" w:cs="宋体"/>
          <w:b/>
          <w:bCs/>
          <w:color w:val="000000"/>
          <w:spacing w:val="16"/>
          <w:sz w:val="28"/>
          <w:szCs w:val="28"/>
          <w:u w:val="single"/>
        </w:rPr>
        <w:t xml:space="preserve">  CGLS20221201   </w:t>
      </w:r>
      <w:r>
        <w:rPr>
          <w:rFonts w:hint="eastAsia" w:ascii="宋体" w:hAnsi="宋体" w:cs="宋体"/>
          <w:b/>
          <w:bCs/>
          <w:color w:val="000000"/>
          <w:spacing w:val="16"/>
          <w:sz w:val="28"/>
          <w:szCs w:val="28"/>
          <w:u w:val="none"/>
        </w:rPr>
        <w:t xml:space="preserve"> </w:t>
      </w:r>
      <w:r>
        <w:rPr>
          <w:rFonts w:hint="eastAsia" w:ascii="宋体" w:hAnsi="宋体" w:cs="宋体"/>
          <w:b/>
          <w:bCs/>
          <w:color w:val="000000"/>
          <w:spacing w:val="16"/>
          <w:sz w:val="28"/>
          <w:szCs w:val="28"/>
        </w:rPr>
        <w:t xml:space="preserve">   </w:t>
      </w:r>
    </w:p>
    <w:p w14:paraId="5206EC91">
      <w:pPr>
        <w:adjustRightInd w:val="0"/>
        <w:snapToGrid w:val="0"/>
        <w:spacing w:line="800" w:lineRule="exact"/>
        <w:ind w:firstLine="624"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项目期限：</w:t>
      </w:r>
      <w:r>
        <w:rPr>
          <w:rFonts w:hint="eastAsia" w:ascii="宋体" w:hAnsi="宋体" w:cs="宋体"/>
          <w:b/>
          <w:bCs/>
          <w:color w:val="000000"/>
          <w:spacing w:val="16"/>
          <w:sz w:val="28"/>
          <w:szCs w:val="28"/>
          <w:u w:val="single"/>
        </w:rPr>
        <w:t>自</w:t>
      </w:r>
      <w:r>
        <w:rPr>
          <w:rFonts w:ascii="宋体" w:hAnsi="宋体" w:cs="宋体"/>
          <w:b/>
          <w:bCs/>
          <w:color w:val="000000"/>
          <w:spacing w:val="16"/>
          <w:sz w:val="28"/>
          <w:szCs w:val="28"/>
          <w:u w:val="single"/>
        </w:rPr>
        <w:t xml:space="preserve"> 202</w:t>
      </w:r>
      <w:r>
        <w:rPr>
          <w:rFonts w:hint="eastAsia" w:ascii="宋体" w:hAnsi="宋体" w:cs="宋体"/>
          <w:b/>
          <w:bCs/>
          <w:color w:val="000000"/>
          <w:spacing w:val="16"/>
          <w:sz w:val="28"/>
          <w:szCs w:val="28"/>
          <w:u w:val="single"/>
          <w:lang w:val="en-US" w:eastAsia="zh-CN"/>
        </w:rPr>
        <w:t>5</w:t>
      </w:r>
      <w:r>
        <w:rPr>
          <w:rFonts w:ascii="宋体" w:hAnsi="宋体" w:cs="宋体"/>
          <w:b/>
          <w:bCs/>
          <w:color w:val="000000"/>
          <w:spacing w:val="16"/>
          <w:sz w:val="28"/>
          <w:szCs w:val="28"/>
          <w:u w:val="single"/>
        </w:rPr>
        <w:t>年</w:t>
      </w:r>
      <w:r>
        <w:rPr>
          <w:rFonts w:hint="eastAsia" w:ascii="宋体" w:hAnsi="宋体" w:cs="宋体"/>
          <w:b/>
          <w:bCs/>
          <w:color w:val="000000"/>
          <w:spacing w:val="16"/>
          <w:sz w:val="28"/>
          <w:szCs w:val="28"/>
          <w:u w:val="single"/>
          <w:lang w:val="en-US" w:eastAsia="zh-CN"/>
        </w:rPr>
        <w:t>5</w:t>
      </w:r>
      <w:r>
        <w:rPr>
          <w:rFonts w:hint="eastAsia" w:ascii="宋体" w:hAnsi="宋体" w:cs="宋体"/>
          <w:b/>
          <w:bCs/>
          <w:color w:val="000000"/>
          <w:spacing w:val="16"/>
          <w:sz w:val="28"/>
          <w:szCs w:val="28"/>
          <w:u w:val="single"/>
        </w:rPr>
        <w:t>月</w:t>
      </w:r>
      <w:r>
        <w:rPr>
          <w:rFonts w:ascii="宋体" w:hAnsi="宋体" w:cs="宋体"/>
          <w:b/>
          <w:bCs/>
          <w:color w:val="000000"/>
          <w:spacing w:val="16"/>
          <w:sz w:val="28"/>
          <w:szCs w:val="28"/>
          <w:u w:val="single"/>
        </w:rPr>
        <w:t>1</w:t>
      </w:r>
      <w:r>
        <w:rPr>
          <w:rFonts w:hint="eastAsia" w:ascii="宋体" w:hAnsi="宋体" w:cs="宋体"/>
          <w:b/>
          <w:bCs/>
          <w:color w:val="000000"/>
          <w:spacing w:val="16"/>
          <w:sz w:val="28"/>
          <w:szCs w:val="28"/>
          <w:u w:val="single"/>
        </w:rPr>
        <w:t>日起至</w:t>
      </w:r>
      <w:r>
        <w:rPr>
          <w:rFonts w:ascii="宋体" w:hAnsi="宋体" w:cs="宋体"/>
          <w:b/>
          <w:bCs/>
          <w:color w:val="000000"/>
          <w:spacing w:val="16"/>
          <w:sz w:val="28"/>
          <w:szCs w:val="28"/>
          <w:u w:val="single"/>
        </w:rPr>
        <w:t xml:space="preserve"> 20</w:t>
      </w:r>
      <w:r>
        <w:rPr>
          <w:rFonts w:hint="eastAsia" w:ascii="宋体" w:hAnsi="宋体" w:cs="宋体"/>
          <w:b/>
          <w:bCs/>
          <w:color w:val="000000"/>
          <w:spacing w:val="16"/>
          <w:sz w:val="28"/>
          <w:szCs w:val="28"/>
          <w:u w:val="single"/>
        </w:rPr>
        <w:t>2</w:t>
      </w:r>
      <w:r>
        <w:rPr>
          <w:rFonts w:hint="eastAsia" w:ascii="宋体" w:hAnsi="宋体" w:cs="宋体"/>
          <w:b/>
          <w:bCs/>
          <w:color w:val="000000"/>
          <w:spacing w:val="16"/>
          <w:sz w:val="28"/>
          <w:szCs w:val="28"/>
          <w:u w:val="single"/>
          <w:lang w:val="en-US" w:eastAsia="zh-CN"/>
        </w:rPr>
        <w:t>9</w:t>
      </w:r>
      <w:r>
        <w:rPr>
          <w:rFonts w:ascii="宋体" w:hAnsi="宋体" w:cs="宋体"/>
          <w:b/>
          <w:bCs/>
          <w:color w:val="000000"/>
          <w:spacing w:val="16"/>
          <w:sz w:val="28"/>
          <w:szCs w:val="28"/>
          <w:u w:val="single"/>
        </w:rPr>
        <w:t>年</w:t>
      </w:r>
      <w:r>
        <w:rPr>
          <w:rFonts w:hint="eastAsia" w:ascii="宋体" w:hAnsi="宋体" w:cs="宋体"/>
          <w:b/>
          <w:bCs/>
          <w:color w:val="000000"/>
          <w:spacing w:val="16"/>
          <w:sz w:val="28"/>
          <w:szCs w:val="28"/>
          <w:u w:val="single"/>
          <w:lang w:val="en-US" w:eastAsia="zh-CN"/>
        </w:rPr>
        <w:t>6</w:t>
      </w:r>
      <w:r>
        <w:rPr>
          <w:rFonts w:ascii="宋体" w:hAnsi="宋体" w:cs="宋体"/>
          <w:b/>
          <w:bCs/>
          <w:color w:val="000000"/>
          <w:spacing w:val="16"/>
          <w:sz w:val="28"/>
          <w:szCs w:val="28"/>
          <w:u w:val="single"/>
        </w:rPr>
        <w:t>月</w:t>
      </w:r>
      <w:r>
        <w:rPr>
          <w:rFonts w:hint="eastAsia" w:ascii="宋体" w:hAnsi="宋体" w:cs="宋体"/>
          <w:b/>
          <w:bCs/>
          <w:color w:val="000000"/>
          <w:spacing w:val="16"/>
          <w:sz w:val="28"/>
          <w:szCs w:val="28"/>
          <w:u w:val="single"/>
        </w:rPr>
        <w:t>3</w:t>
      </w:r>
      <w:r>
        <w:rPr>
          <w:rFonts w:ascii="宋体" w:hAnsi="宋体" w:cs="宋体"/>
          <w:b/>
          <w:bCs/>
          <w:color w:val="000000"/>
          <w:spacing w:val="16"/>
          <w:sz w:val="28"/>
          <w:szCs w:val="28"/>
          <w:u w:val="single"/>
        </w:rPr>
        <w:t>1日止</w:t>
      </w:r>
    </w:p>
    <w:p w14:paraId="0BF33E55">
      <w:pPr>
        <w:adjustRightInd w:val="0"/>
        <w:snapToGrid w:val="0"/>
        <w:spacing w:line="800" w:lineRule="exact"/>
        <w:ind w:firstLine="624"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项目资助单位（甲方）：</w:t>
      </w:r>
      <w:r>
        <w:rPr>
          <w:rFonts w:hint="eastAsia" w:ascii="宋体" w:hAnsi="宋体" w:cs="宋体"/>
          <w:b/>
          <w:bCs/>
          <w:color w:val="000000"/>
          <w:spacing w:val="16"/>
          <w:sz w:val="28"/>
          <w:szCs w:val="28"/>
          <w:u w:val="single"/>
        </w:rPr>
        <w:t xml:space="preserve">  </w:t>
      </w:r>
      <w:r>
        <w:rPr>
          <w:rFonts w:hint="eastAsia" w:ascii="宋体" w:hAnsi="宋体" w:cs="宋体"/>
          <w:b/>
          <w:bCs/>
          <w:color w:val="000000" w:themeColor="text1"/>
          <w:spacing w:val="16"/>
          <w:sz w:val="28"/>
          <w:szCs w:val="28"/>
          <w:u w:val="single"/>
          <w14:textFill>
            <w14:solidFill>
              <w14:schemeClr w14:val="tx1"/>
            </w14:solidFill>
          </w14:textFill>
        </w:rPr>
        <w:t xml:space="preserve">北京生命绿洲公益服务中心  </w:t>
      </w:r>
      <w:r>
        <w:rPr>
          <w:rFonts w:hint="eastAsia" w:ascii="宋体" w:hAnsi="宋体" w:cs="宋体"/>
          <w:b/>
          <w:bCs/>
          <w:color w:val="000000"/>
          <w:spacing w:val="16"/>
          <w:sz w:val="28"/>
          <w:szCs w:val="28"/>
          <w:u w:val="single"/>
        </w:rPr>
        <w:t xml:space="preserve">             </w:t>
      </w:r>
    </w:p>
    <w:p w14:paraId="5819EA9F">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cs="宋体"/>
          <w:b/>
          <w:bCs/>
          <w:color w:val="000000"/>
          <w:spacing w:val="16"/>
          <w:sz w:val="28"/>
          <w:szCs w:val="28"/>
          <w:highlight w:val="none"/>
        </w:rPr>
        <w:t>项目负责人（研究者）：</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243E4EFA">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lang w:val="en-US" w:eastAsia="zh-CN"/>
        </w:rPr>
        <w:t>联系电话</w:t>
      </w:r>
      <w:r>
        <w:rPr>
          <w:rFonts w:hint="eastAsia" w:ascii="宋体" w:hAnsi="宋体" w:cs="宋体"/>
          <w:b/>
          <w:bCs/>
          <w:color w:val="000000"/>
          <w:spacing w:val="16"/>
          <w:sz w:val="28"/>
          <w:szCs w:val="28"/>
          <w:highlight w:val="none"/>
        </w:rPr>
        <w:t>：</w:t>
      </w:r>
      <w:r>
        <w:rPr>
          <w:rFonts w:hint="eastAsia" w:ascii="宋体" w:hAnsi="宋体" w:cs="宋体"/>
          <w:b/>
          <w:bCs/>
          <w:color w:val="000000"/>
          <w:sz w:val="28"/>
          <w:szCs w:val="28"/>
          <w:highlight w:val="none"/>
          <w:u w:val="single"/>
        </w:rPr>
        <w:t xml:space="preserve"> </w:t>
      </w:r>
      <w:r>
        <w:rPr>
          <w:rFonts w:hint="eastAsia" w:ascii="宋体" w:hAnsi="宋体" w:cs="宋体"/>
          <w:b/>
          <w:bCs/>
          <w:color w:val="000000"/>
          <w:sz w:val="28"/>
          <w:szCs w:val="28"/>
          <w:highlight w:val="none"/>
          <w:u w:val="single"/>
          <w:lang w:val="en-US" w:eastAsia="zh-CN"/>
        </w:rPr>
        <w:t xml:space="preserve">            </w:t>
      </w:r>
    </w:p>
    <w:p w14:paraId="3CFA4F0F">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电子邮箱：</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7B603059">
      <w:pPr>
        <w:adjustRightInd w:val="0"/>
        <w:snapToGrid w:val="0"/>
        <w:spacing w:line="800" w:lineRule="exact"/>
        <w:ind w:firstLine="624" w:firstLineChars="200"/>
        <w:rPr>
          <w:rFonts w:ascii="宋体" w:hAnsi="宋体" w:cs="宋体"/>
          <w:b/>
          <w:bCs/>
          <w:color w:val="000000"/>
          <w:spacing w:val="16"/>
          <w:sz w:val="28"/>
          <w:szCs w:val="28"/>
          <w:highlight w:val="none"/>
        </w:rPr>
      </w:pPr>
      <w:r>
        <w:rPr>
          <w:rFonts w:hint="eastAsia" w:ascii="宋体" w:hAnsi="宋体" w:cs="宋体"/>
          <w:b/>
          <w:bCs/>
          <w:color w:val="000000"/>
          <w:spacing w:val="16"/>
          <w:sz w:val="28"/>
          <w:szCs w:val="28"/>
          <w:highlight w:val="none"/>
        </w:rPr>
        <w:t>项目医院（乙方）：</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p>
    <w:p w14:paraId="26C0CC37">
      <w:pPr>
        <w:adjustRightInd w:val="0"/>
        <w:snapToGrid w:val="0"/>
        <w:spacing w:line="800" w:lineRule="exact"/>
        <w:ind w:firstLine="624" w:firstLineChars="200"/>
        <w:rPr>
          <w:rFonts w:ascii="宋体" w:hAnsi="宋体" w:cs="宋体"/>
          <w:b/>
          <w:bCs/>
          <w:color w:val="000000"/>
          <w:spacing w:val="16"/>
          <w:sz w:val="28"/>
          <w:szCs w:val="28"/>
          <w:highlight w:val="none"/>
        </w:rPr>
      </w:pPr>
      <w:r>
        <w:rPr>
          <w:rFonts w:hint="eastAsia" w:ascii="宋体" w:hAnsi="宋体" w:cs="宋体"/>
          <w:b/>
          <w:bCs/>
          <w:color w:val="000000"/>
          <w:spacing w:val="16"/>
          <w:sz w:val="28"/>
          <w:szCs w:val="28"/>
          <w:highlight w:val="none"/>
        </w:rPr>
        <w:t>通信地址及邮编：</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rPr>
        <w:t xml:space="preserve">    </w:t>
      </w:r>
    </w:p>
    <w:p w14:paraId="220E4B1D">
      <w:pPr>
        <w:adjustRightInd w:val="0"/>
        <w:snapToGrid w:val="0"/>
        <w:spacing w:line="800" w:lineRule="exact"/>
        <w:ind w:firstLine="624" w:firstLineChars="200"/>
        <w:rPr>
          <w:rFonts w:ascii="宋体" w:hAnsi="宋体" w:cs="宋体"/>
          <w:b/>
          <w:bCs/>
          <w:color w:val="000000"/>
          <w:spacing w:val="16"/>
          <w:sz w:val="28"/>
          <w:szCs w:val="28"/>
          <w:highlight w:val="none"/>
          <w:u w:val="single"/>
        </w:rPr>
      </w:pPr>
      <w:r>
        <w:rPr>
          <w:rFonts w:hint="eastAsia" w:ascii="宋体" w:hAnsi="宋体" w:cs="宋体"/>
          <w:b/>
          <w:bCs/>
          <w:color w:val="000000"/>
          <w:spacing w:val="16"/>
          <w:sz w:val="28"/>
          <w:szCs w:val="28"/>
          <w:highlight w:val="none"/>
        </w:rPr>
        <w:t>填表日期</w:t>
      </w:r>
      <w:r>
        <w:rPr>
          <w:rFonts w:hint="eastAsia" w:ascii="宋体" w:hAnsi="宋体" w:cs="宋体"/>
          <w:b/>
          <w:bCs/>
          <w:color w:val="000000"/>
          <w:spacing w:val="16"/>
          <w:sz w:val="28"/>
          <w:szCs w:val="28"/>
          <w:highlight w:val="none"/>
          <w:lang w:eastAsia="zh-CN"/>
        </w:rPr>
        <w:t>：</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202  年  月  日</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0215E75D">
      <w:pPr>
        <w:adjustRightInd w:val="0"/>
        <w:snapToGrid w:val="0"/>
        <w:spacing w:line="920" w:lineRule="exact"/>
        <w:ind w:firstLine="544" w:firstLineChars="200"/>
        <w:rPr>
          <w:rFonts w:ascii="宋体" w:hAnsi="宋体" w:cs="宋体"/>
          <w:color w:val="000000"/>
          <w:spacing w:val="16"/>
          <w:sz w:val="24"/>
          <w:u w:val="single"/>
        </w:rPr>
      </w:pPr>
    </w:p>
    <w:p w14:paraId="7BE61EDD">
      <w:pPr>
        <w:spacing w:line="360" w:lineRule="auto"/>
        <w:jc w:val="center"/>
        <w:rPr>
          <w:rFonts w:ascii="宋体" w:hAnsi="宋体" w:cs="宋体"/>
          <w:color w:val="000000"/>
          <w:sz w:val="24"/>
        </w:rPr>
      </w:pPr>
      <w:r>
        <w:rPr>
          <w:rFonts w:hint="eastAsia" w:ascii="宋体" w:hAnsi="宋体" w:cs="宋体"/>
          <w:color w:val="000000"/>
          <w:sz w:val="24"/>
        </w:rPr>
        <w:t xml:space="preserve">  </w:t>
      </w:r>
    </w:p>
    <w:p w14:paraId="1817097B">
      <w:pPr>
        <w:spacing w:line="360" w:lineRule="auto"/>
        <w:jc w:val="center"/>
        <w:rPr>
          <w:rFonts w:ascii="宋体" w:hAnsi="宋体" w:cs="宋体"/>
          <w:color w:val="000000"/>
          <w:sz w:val="30"/>
          <w:szCs w:val="30"/>
        </w:rPr>
      </w:pPr>
      <w:r>
        <w:rPr>
          <w:rFonts w:hint="eastAsia" w:ascii="宋体" w:hAnsi="宋体" w:cs="宋体"/>
          <w:color w:val="000000"/>
          <w:sz w:val="24"/>
        </w:rPr>
        <w:t xml:space="preserve">  </w:t>
      </w:r>
      <w:r>
        <w:rPr>
          <w:rFonts w:hint="eastAsia" w:ascii="宋体" w:hAnsi="宋体" w:cs="宋体"/>
          <w:color w:val="000000"/>
          <w:sz w:val="24"/>
        </w:rPr>
        <w:br w:type="page"/>
      </w:r>
      <w:r>
        <w:rPr>
          <w:rFonts w:hint="eastAsia" w:ascii="宋体" w:hAnsi="宋体" w:cs="宋体"/>
          <w:color w:val="000000"/>
          <w:sz w:val="30"/>
          <w:szCs w:val="30"/>
        </w:rPr>
        <w:t>一、</w:t>
      </w:r>
      <w:r>
        <w:rPr>
          <w:rFonts w:hint="eastAsia" w:ascii="宋体" w:hAnsi="宋体" w:cs="宋体"/>
          <w:b/>
          <w:color w:val="000000"/>
          <w:sz w:val="30"/>
          <w:szCs w:val="30"/>
        </w:rPr>
        <w:t>说　明</w:t>
      </w:r>
    </w:p>
    <w:p w14:paraId="7EB31895">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一、请认真阅读本填报说明,认真填写本</w:t>
      </w:r>
      <w:r>
        <w:rPr>
          <w:rFonts w:hint="eastAsia" w:ascii="宋体" w:hAnsi="宋体" w:cs="宋体"/>
          <w:color w:val="000000"/>
          <w:sz w:val="24"/>
          <w:u w:val="single"/>
        </w:rPr>
        <w:t>《 中国儿童生长激素长期疗效及安全性评估项目—一项开放、多中心、前瞻性与回顾性的观察性研究_项目专项</w:t>
      </w:r>
      <w:r>
        <w:rPr>
          <w:rFonts w:hint="eastAsia" w:ascii="宋体" w:hAnsi="宋体" w:cs="宋体"/>
          <w:color w:val="000000"/>
          <w:sz w:val="24"/>
          <w:u w:val="single"/>
          <w:lang w:val="en-US" w:eastAsia="zh-CN"/>
        </w:rPr>
        <w:t>申请</w:t>
      </w:r>
      <w:r>
        <w:rPr>
          <w:rFonts w:hint="eastAsia" w:ascii="宋体" w:hAnsi="宋体" w:cs="宋体"/>
          <w:color w:val="000000"/>
          <w:sz w:val="24"/>
          <w:u w:val="single"/>
        </w:rPr>
        <w:t>书》</w:t>
      </w:r>
      <w:r>
        <w:rPr>
          <w:rFonts w:hint="eastAsia" w:ascii="宋体" w:hAnsi="宋体" w:cs="宋体"/>
          <w:color w:val="000000"/>
          <w:sz w:val="24"/>
        </w:rPr>
        <w:t>。</w:t>
      </w:r>
    </w:p>
    <w:p w14:paraId="322C8460">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二、本</w:t>
      </w:r>
      <w:r>
        <w:rPr>
          <w:rFonts w:hint="eastAsia" w:ascii="宋体" w:hAnsi="宋体" w:cs="宋体"/>
          <w:color w:val="000000"/>
          <w:sz w:val="24"/>
          <w:u w:val="single"/>
        </w:rPr>
        <w:t>《__中国儿童生长激素长期疗效及安全性评估项目—一项开放、多中心、前瞻性与回顾性的观察性研究 项目专项合同书》</w:t>
      </w:r>
      <w:r>
        <w:rPr>
          <w:rFonts w:hint="eastAsia" w:ascii="宋体" w:hAnsi="宋体" w:cs="宋体"/>
          <w:color w:val="000000"/>
          <w:sz w:val="24"/>
        </w:rPr>
        <w:t>与</w:t>
      </w:r>
      <w:r>
        <w:rPr>
          <w:rFonts w:hint="eastAsia" w:ascii="宋体" w:hAnsi="宋体" w:cs="宋体"/>
          <w:color w:val="000000"/>
          <w:sz w:val="24"/>
          <w:u w:val="single"/>
        </w:rPr>
        <w:t>《 中国儿童生长激素长期疗效及安全性评估项目—一项开放、多中心、前瞻性与回顾性的观察性研究 项目专项申请书》</w:t>
      </w:r>
      <w:r>
        <w:rPr>
          <w:rFonts w:hint="eastAsia" w:ascii="宋体" w:hAnsi="宋体" w:cs="宋体"/>
          <w:color w:val="000000"/>
          <w:sz w:val="24"/>
        </w:rPr>
        <w:t>一起，作为项目经费支付和验收的依据。</w:t>
      </w:r>
    </w:p>
    <w:p w14:paraId="5C3B025A">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三、本</w:t>
      </w:r>
      <w:r>
        <w:rPr>
          <w:rFonts w:hint="eastAsia" w:ascii="宋体" w:hAnsi="宋体" w:cs="宋体"/>
          <w:color w:val="000000"/>
          <w:sz w:val="24"/>
          <w:u w:val="single"/>
        </w:rPr>
        <w:t>《_中国儿童生长激素长期疗效及安全性评估项目—一项开放、多中心、前瞻性与回顾性的观察性研究 项目专项合同书》</w:t>
      </w:r>
      <w:r>
        <w:rPr>
          <w:rFonts w:hint="eastAsia" w:ascii="宋体" w:hAnsi="宋体" w:cs="宋体"/>
          <w:color w:val="000000"/>
          <w:sz w:val="24"/>
        </w:rPr>
        <w:t>的经费预算与</w:t>
      </w:r>
      <w:r>
        <w:rPr>
          <w:rFonts w:hint="eastAsia" w:ascii="宋体" w:hAnsi="宋体" w:cs="宋体"/>
          <w:color w:val="000000"/>
          <w:sz w:val="24"/>
          <w:u w:val="single"/>
        </w:rPr>
        <w:t>《 中国儿童生长激素长期疗效及安全性评估项目—一项开放、多中心、前瞻性与回顾性的观察性研究_项目专项申请书》</w:t>
      </w:r>
      <w:r>
        <w:rPr>
          <w:rFonts w:hint="eastAsia" w:ascii="宋体" w:hAnsi="宋体" w:cs="宋体"/>
          <w:color w:val="000000"/>
          <w:sz w:val="24"/>
        </w:rPr>
        <w:t>中的经费预算应当一致。</w:t>
      </w:r>
    </w:p>
    <w:p w14:paraId="62DC6106">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四、</w:t>
      </w:r>
      <w:r>
        <w:rPr>
          <w:rFonts w:hint="eastAsia" w:ascii="宋体" w:hAnsi="宋体" w:cs="宋体"/>
          <w:color w:val="000000"/>
          <w:sz w:val="24"/>
          <w:u w:val="single"/>
        </w:rPr>
        <w:t>《 中国儿童生长激素长期疗效及安全性评估项目—一项开放、多中心、前瞻性与回顾性的观察性研究_项目专项申请书》</w:t>
      </w:r>
      <w:r>
        <w:rPr>
          <w:rFonts w:hint="eastAsia" w:ascii="宋体" w:hAnsi="宋体" w:cs="宋体"/>
          <w:color w:val="000000"/>
          <w:sz w:val="24"/>
        </w:rPr>
        <w:t>的各项承诺与</w:t>
      </w:r>
      <w:r>
        <w:rPr>
          <w:rFonts w:hint="eastAsia" w:ascii="宋体" w:hAnsi="宋体" w:cs="宋体"/>
          <w:color w:val="000000"/>
          <w:sz w:val="24"/>
          <w:u w:val="single"/>
        </w:rPr>
        <w:t>《_中国儿童生长激素长期疗效及安全性评估项目—一项开放、多中心、前瞻性与回顾性的观察性研究 项目专项合同书》</w:t>
      </w:r>
      <w:r>
        <w:rPr>
          <w:rFonts w:hint="eastAsia" w:ascii="宋体" w:hAnsi="宋体" w:cs="宋体"/>
          <w:color w:val="000000"/>
          <w:sz w:val="24"/>
        </w:rPr>
        <w:t>的各项条款同时有效。</w:t>
      </w:r>
    </w:p>
    <w:p w14:paraId="6B6E0107">
      <w:pPr>
        <w:adjustRightInd w:val="0"/>
        <w:snapToGrid w:val="0"/>
        <w:spacing w:line="520" w:lineRule="exact"/>
        <w:ind w:firstLine="480" w:firstLineChars="200"/>
        <w:rPr>
          <w:rFonts w:ascii="宋体" w:hAnsi="宋体" w:cs="宋体"/>
          <w:color w:val="000000"/>
          <w:sz w:val="24"/>
        </w:rPr>
      </w:pPr>
      <w:r>
        <w:rPr>
          <w:rFonts w:hint="eastAsia" w:ascii="宋体" w:hAnsi="宋体" w:cs="宋体"/>
          <w:color w:val="000000"/>
          <w:sz w:val="24"/>
        </w:rPr>
        <w:t>五、请将本</w:t>
      </w:r>
      <w:r>
        <w:rPr>
          <w:rFonts w:hint="eastAsia" w:ascii="宋体" w:hAnsi="宋体" w:cs="宋体"/>
          <w:color w:val="000000"/>
          <w:sz w:val="24"/>
          <w:u w:val="single"/>
        </w:rPr>
        <w:t>《 中国儿童生长激素长期疗效及安全性评估项目—一项开放、多中心、前瞻性与回顾性的观察性研究 项目专项合同书》</w:t>
      </w:r>
      <w:r>
        <w:rPr>
          <w:rFonts w:hint="eastAsia" w:ascii="宋体" w:hAnsi="宋体" w:cs="宋体"/>
          <w:color w:val="000000"/>
          <w:sz w:val="24"/>
        </w:rPr>
        <w:t>打印一式肆份并签</w:t>
      </w:r>
      <w:r>
        <w:rPr>
          <w:rFonts w:hint="eastAsia" w:ascii="宋体" w:hAnsi="宋体" w:cs="宋体"/>
          <w:color w:val="000000"/>
          <w:sz w:val="24"/>
          <w:lang w:val="en-US" w:eastAsia="zh-CN"/>
        </w:rPr>
        <w:t>章</w:t>
      </w:r>
      <w:r>
        <w:rPr>
          <w:rFonts w:hint="eastAsia" w:ascii="宋体" w:hAnsi="宋体" w:cs="宋体"/>
          <w:color w:val="000000"/>
          <w:sz w:val="24"/>
        </w:rPr>
        <w:t>，在规定时间内寄送至甲方。</w:t>
      </w:r>
    </w:p>
    <w:p w14:paraId="2BC055BF">
      <w:pPr>
        <w:adjustRightInd w:val="0"/>
        <w:snapToGrid w:val="0"/>
        <w:spacing w:line="520" w:lineRule="exact"/>
        <w:ind w:firstLine="480" w:firstLineChars="200"/>
        <w:rPr>
          <w:rFonts w:ascii="宋体" w:hAnsi="宋体" w:cs="宋体"/>
          <w:color w:val="000000"/>
          <w:sz w:val="24"/>
        </w:rPr>
        <w:sectPr>
          <w:footerReference r:id="rId4" w:type="first"/>
          <w:footerReference r:id="rId3" w:type="default"/>
          <w:pgSz w:w="11907" w:h="16840"/>
          <w:pgMar w:top="1418" w:right="1287" w:bottom="1134" w:left="1134" w:header="851" w:footer="992" w:gutter="0"/>
          <w:pgNumType w:start="0"/>
          <w:cols w:space="720" w:num="1"/>
          <w:titlePg/>
          <w:docGrid w:type="linesAndChars" w:linePitch="312" w:charSpace="0"/>
        </w:sectPr>
      </w:pPr>
    </w:p>
    <w:p w14:paraId="72CD541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cs="宋体"/>
          <w:b/>
          <w:snapToGrid w:val="0"/>
          <w:color w:val="000000"/>
          <w:kern w:val="0"/>
          <w:sz w:val="30"/>
          <w:szCs w:val="30"/>
        </w:rPr>
      </w:pPr>
      <w:r>
        <w:rPr>
          <w:rFonts w:hint="eastAsia" w:ascii="宋体" w:hAnsi="宋体" w:cs="宋体"/>
          <w:b/>
          <w:snapToGrid w:val="0"/>
          <w:color w:val="000000"/>
          <w:kern w:val="0"/>
          <w:sz w:val="30"/>
          <w:szCs w:val="30"/>
        </w:rPr>
        <w:t>二、项目信息简表</w:t>
      </w:r>
    </w:p>
    <w:tbl>
      <w:tblPr>
        <w:tblStyle w:val="11"/>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5"/>
        <w:gridCol w:w="1154"/>
        <w:gridCol w:w="591"/>
        <w:gridCol w:w="1091"/>
        <w:gridCol w:w="750"/>
        <w:gridCol w:w="1325"/>
        <w:gridCol w:w="1388"/>
        <w:gridCol w:w="1456"/>
        <w:gridCol w:w="119"/>
        <w:gridCol w:w="736"/>
        <w:gridCol w:w="771"/>
      </w:tblGrid>
      <w:tr w14:paraId="4C1E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14:paraId="184F456F">
            <w:pPr>
              <w:bidi w:val="0"/>
              <w:jc w:val="both"/>
              <w:rPr>
                <w:rFonts w:hint="eastAsia" w:ascii="宋体" w:hAnsi="宋体" w:eastAsia="宋体" w:cs="宋体"/>
                <w:b/>
                <w:bCs/>
                <w:sz w:val="24"/>
                <w:szCs w:val="24"/>
                <w:lang w:val="en-US" w:eastAsia="zh-CN"/>
              </w:rPr>
            </w:pPr>
          </w:p>
          <w:p w14:paraId="36AC9E76">
            <w:pPr>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项目负责人信息</w:t>
            </w:r>
          </w:p>
        </w:tc>
        <w:tc>
          <w:tcPr>
            <w:tcW w:w="1154" w:type="dxa"/>
            <w:shd w:val="clear" w:color="auto" w:fill="auto"/>
            <w:vAlign w:val="center"/>
          </w:tcPr>
          <w:p w14:paraId="256A7C9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682" w:type="dxa"/>
            <w:gridSpan w:val="2"/>
            <w:shd w:val="clear" w:color="auto" w:fill="auto"/>
            <w:vAlign w:val="center"/>
          </w:tcPr>
          <w:p w14:paraId="0222181A">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tc>
        <w:tc>
          <w:tcPr>
            <w:tcW w:w="750" w:type="dxa"/>
            <w:shd w:val="clear" w:color="auto" w:fill="auto"/>
            <w:vAlign w:val="center"/>
          </w:tcPr>
          <w:p w14:paraId="5529BDE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325" w:type="dxa"/>
            <w:shd w:val="clear" w:color="auto" w:fill="auto"/>
            <w:vAlign w:val="center"/>
          </w:tcPr>
          <w:p w14:paraId="777CF378">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tc>
        <w:tc>
          <w:tcPr>
            <w:tcW w:w="1388" w:type="dxa"/>
            <w:shd w:val="clear" w:color="auto" w:fill="auto"/>
            <w:vAlign w:val="center"/>
          </w:tcPr>
          <w:p w14:paraId="28BED54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出生日期</w:t>
            </w:r>
          </w:p>
        </w:tc>
        <w:tc>
          <w:tcPr>
            <w:tcW w:w="1456" w:type="dxa"/>
            <w:shd w:val="clear" w:color="auto" w:fill="auto"/>
            <w:vAlign w:val="center"/>
          </w:tcPr>
          <w:p w14:paraId="55675476">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tc>
        <w:tc>
          <w:tcPr>
            <w:tcW w:w="855" w:type="dxa"/>
            <w:gridSpan w:val="2"/>
            <w:shd w:val="clear" w:color="auto" w:fill="auto"/>
            <w:vAlign w:val="center"/>
          </w:tcPr>
          <w:p w14:paraId="34C3DE6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771" w:type="dxa"/>
            <w:shd w:val="clear" w:color="auto" w:fill="auto"/>
            <w:vAlign w:val="center"/>
          </w:tcPr>
          <w:p w14:paraId="3D8210E6">
            <w:pPr>
              <w:jc w:val="both"/>
              <w:rPr>
                <w:rFonts w:hint="default" w:ascii="宋体" w:hAnsi="宋体" w:eastAsia="宋体" w:cs="宋体"/>
                <w:sz w:val="24"/>
                <w:szCs w:val="24"/>
                <w:vertAlign w:val="baseline"/>
                <w:lang w:val="en-US" w:eastAsia="zh-CN"/>
              </w:rPr>
            </w:pPr>
          </w:p>
        </w:tc>
      </w:tr>
      <w:tr w14:paraId="0CA8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199F33B4">
            <w:pPr>
              <w:jc w:val="both"/>
              <w:rPr>
                <w:rFonts w:hint="eastAsia" w:ascii="宋体" w:hAnsi="宋体" w:eastAsia="宋体" w:cs="宋体"/>
                <w:sz w:val="24"/>
                <w:szCs w:val="24"/>
                <w:vertAlign w:val="baseline"/>
              </w:rPr>
            </w:pPr>
          </w:p>
        </w:tc>
        <w:tc>
          <w:tcPr>
            <w:tcW w:w="1154" w:type="dxa"/>
            <w:shd w:val="clear" w:color="auto" w:fill="auto"/>
            <w:vAlign w:val="center"/>
          </w:tcPr>
          <w:p w14:paraId="2DC710CA">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学位</w:t>
            </w:r>
          </w:p>
        </w:tc>
        <w:tc>
          <w:tcPr>
            <w:tcW w:w="1682" w:type="dxa"/>
            <w:gridSpan w:val="2"/>
            <w:shd w:val="clear" w:color="auto" w:fill="auto"/>
            <w:vAlign w:val="center"/>
          </w:tcPr>
          <w:p w14:paraId="7EDDDD9B">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tc>
        <w:tc>
          <w:tcPr>
            <w:tcW w:w="750" w:type="dxa"/>
            <w:shd w:val="clear" w:color="auto" w:fill="auto"/>
            <w:vAlign w:val="center"/>
          </w:tcPr>
          <w:p w14:paraId="25E1E8E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325" w:type="dxa"/>
            <w:shd w:val="clear" w:color="auto" w:fill="auto"/>
            <w:vAlign w:val="center"/>
          </w:tcPr>
          <w:p w14:paraId="54365972">
            <w:pPr>
              <w:jc w:val="both"/>
              <w:rPr>
                <w:rFonts w:hint="eastAsia" w:ascii="宋体" w:hAnsi="宋体" w:eastAsia="宋体" w:cs="宋体"/>
                <w:sz w:val="24"/>
                <w:szCs w:val="24"/>
                <w:vertAlign w:val="baseline"/>
                <w:lang w:val="en-US" w:eastAsia="zh-CN"/>
              </w:rPr>
            </w:pPr>
            <w:r>
              <w:rPr>
                <w:rFonts w:hint="eastAsia" w:ascii="宋体" w:hAnsi="宋体" w:cs="宋体"/>
                <w:bCs/>
                <w:color w:val="000000"/>
                <w:sz w:val="24"/>
                <w:szCs w:val="24"/>
                <w:lang w:val="en-US" w:eastAsia="zh-CN"/>
              </w:rPr>
              <w:t xml:space="preserve"> </w:t>
            </w:r>
          </w:p>
        </w:tc>
        <w:tc>
          <w:tcPr>
            <w:tcW w:w="1388" w:type="dxa"/>
            <w:shd w:val="clear" w:color="auto" w:fill="auto"/>
            <w:vAlign w:val="center"/>
          </w:tcPr>
          <w:p w14:paraId="22FBEF4B">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3082" w:type="dxa"/>
            <w:gridSpan w:val="4"/>
            <w:shd w:val="clear" w:color="auto" w:fill="auto"/>
            <w:vAlign w:val="center"/>
          </w:tcPr>
          <w:p w14:paraId="0C015A85">
            <w:pPr>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 xml:space="preserve"> </w:t>
            </w:r>
          </w:p>
        </w:tc>
      </w:tr>
      <w:tr w14:paraId="3523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7D3FA31C">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61E5FB8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3166" w:type="dxa"/>
            <w:gridSpan w:val="3"/>
            <w:shd w:val="clear" w:color="auto" w:fill="auto"/>
            <w:vAlign w:val="center"/>
          </w:tcPr>
          <w:p w14:paraId="65ED85D1">
            <w:pPr>
              <w:jc w:val="both"/>
              <w:rPr>
                <w:rFonts w:hint="eastAsia" w:ascii="宋体" w:hAnsi="宋体" w:eastAsia="宋体" w:cs="宋体"/>
                <w:sz w:val="24"/>
                <w:szCs w:val="24"/>
                <w:vertAlign w:val="baseline"/>
                <w:lang w:eastAsia="zh-CN"/>
              </w:rPr>
            </w:pPr>
            <w:r>
              <w:rPr>
                <w:rFonts w:hint="eastAsia" w:ascii="宋体" w:hAnsi="宋体" w:cs="宋体"/>
                <w:bCs/>
                <w:color w:val="000000"/>
                <w:sz w:val="24"/>
                <w:szCs w:val="24"/>
                <w:lang w:val="en-US" w:eastAsia="zh-CN"/>
              </w:rPr>
              <w:t xml:space="preserve"> </w:t>
            </w:r>
          </w:p>
        </w:tc>
        <w:tc>
          <w:tcPr>
            <w:tcW w:w="1388" w:type="dxa"/>
            <w:shd w:val="clear" w:color="auto" w:fill="auto"/>
            <w:vAlign w:val="center"/>
          </w:tcPr>
          <w:p w14:paraId="51E8D50D">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w:t>
            </w:r>
          </w:p>
        </w:tc>
        <w:tc>
          <w:tcPr>
            <w:tcW w:w="3082" w:type="dxa"/>
            <w:gridSpan w:val="4"/>
            <w:shd w:val="clear" w:color="auto" w:fill="auto"/>
            <w:vAlign w:val="center"/>
          </w:tcPr>
          <w:p w14:paraId="7F829986">
            <w:pPr>
              <w:jc w:val="both"/>
              <w:rPr>
                <w:rFonts w:hint="eastAsia" w:ascii="宋体" w:hAnsi="宋体" w:eastAsia="宋体" w:cs="宋体"/>
                <w:sz w:val="24"/>
                <w:szCs w:val="24"/>
                <w:vertAlign w:val="baseline"/>
                <w:lang w:eastAsia="zh-CN"/>
              </w:rPr>
            </w:pPr>
            <w:r>
              <w:rPr>
                <w:rFonts w:hint="eastAsia" w:ascii="宋体" w:hAnsi="宋体" w:cs="宋体"/>
                <w:bCs/>
                <w:color w:val="000000"/>
                <w:sz w:val="24"/>
                <w:szCs w:val="24"/>
                <w:lang w:val="en-US" w:eastAsia="zh-CN"/>
              </w:rPr>
              <w:t xml:space="preserve"> </w:t>
            </w:r>
          </w:p>
        </w:tc>
      </w:tr>
      <w:tr w14:paraId="7857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5632F5E0">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36F32235">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7636" w:type="dxa"/>
            <w:gridSpan w:val="8"/>
            <w:shd w:val="clear" w:color="auto" w:fill="auto"/>
            <w:vAlign w:val="center"/>
          </w:tcPr>
          <w:p w14:paraId="6E5C6ABE">
            <w:pPr>
              <w:jc w:val="both"/>
              <w:rPr>
                <w:rFonts w:hint="eastAsia" w:ascii="宋体" w:hAnsi="宋体" w:eastAsia="宋体" w:cs="宋体"/>
                <w:sz w:val="24"/>
                <w:szCs w:val="24"/>
                <w:vertAlign w:val="baseline"/>
              </w:rPr>
            </w:pPr>
          </w:p>
        </w:tc>
      </w:tr>
      <w:tr w14:paraId="05A3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4F275F72">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1ECFCF94">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7636" w:type="dxa"/>
            <w:gridSpan w:val="8"/>
            <w:shd w:val="clear" w:color="auto" w:fill="auto"/>
            <w:vAlign w:val="center"/>
          </w:tcPr>
          <w:p w14:paraId="737BABB9">
            <w:pPr>
              <w:jc w:val="both"/>
              <w:rPr>
                <w:rFonts w:hint="eastAsia" w:ascii="宋体" w:hAnsi="宋体" w:eastAsia="宋体" w:cs="宋体"/>
                <w:sz w:val="24"/>
                <w:szCs w:val="24"/>
                <w:vertAlign w:val="baseline"/>
              </w:rPr>
            </w:pPr>
          </w:p>
        </w:tc>
      </w:tr>
      <w:tr w14:paraId="53BF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5" w:type="dxa"/>
            <w:vMerge w:val="continue"/>
            <w:shd w:val="clear" w:color="auto" w:fill="auto"/>
            <w:vAlign w:val="center"/>
          </w:tcPr>
          <w:p w14:paraId="29E9D71F">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476B5E64">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所在部门</w:t>
            </w:r>
          </w:p>
        </w:tc>
        <w:tc>
          <w:tcPr>
            <w:tcW w:w="7636" w:type="dxa"/>
            <w:gridSpan w:val="8"/>
            <w:shd w:val="clear" w:color="auto" w:fill="auto"/>
            <w:vAlign w:val="center"/>
          </w:tcPr>
          <w:p w14:paraId="4641446C">
            <w:pPr>
              <w:jc w:val="both"/>
              <w:rPr>
                <w:rFonts w:hint="default" w:ascii="宋体" w:hAnsi="宋体" w:eastAsia="宋体" w:cs="宋体"/>
                <w:sz w:val="24"/>
                <w:szCs w:val="24"/>
                <w:vertAlign w:val="baseline"/>
                <w:lang w:val="en-US" w:eastAsia="zh-CN"/>
              </w:rPr>
            </w:pPr>
          </w:p>
        </w:tc>
      </w:tr>
      <w:tr w14:paraId="0B92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restart"/>
            <w:shd w:val="clear" w:color="auto" w:fill="auto"/>
            <w:vAlign w:val="center"/>
          </w:tcPr>
          <w:p w14:paraId="2EF85CC7">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依托单位信息</w:t>
            </w:r>
          </w:p>
        </w:tc>
        <w:tc>
          <w:tcPr>
            <w:tcW w:w="1745" w:type="dxa"/>
            <w:gridSpan w:val="2"/>
            <w:shd w:val="clear" w:color="auto" w:fill="auto"/>
            <w:vAlign w:val="center"/>
          </w:tcPr>
          <w:p w14:paraId="56009C3D">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7636" w:type="dxa"/>
            <w:gridSpan w:val="8"/>
            <w:shd w:val="clear" w:color="auto" w:fill="auto"/>
            <w:vAlign w:val="center"/>
          </w:tcPr>
          <w:p w14:paraId="48F6CC2D">
            <w:pPr>
              <w:jc w:val="both"/>
              <w:rPr>
                <w:rFonts w:hint="eastAsia" w:ascii="宋体" w:hAnsi="宋体" w:eastAsia="宋体" w:cs="宋体"/>
                <w:sz w:val="24"/>
                <w:szCs w:val="24"/>
                <w:vertAlign w:val="baseline"/>
              </w:rPr>
            </w:pPr>
          </w:p>
        </w:tc>
      </w:tr>
      <w:tr w14:paraId="3F99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7852C67F">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0297395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3166" w:type="dxa"/>
            <w:gridSpan w:val="3"/>
            <w:shd w:val="clear" w:color="auto" w:fill="auto"/>
            <w:vAlign w:val="center"/>
          </w:tcPr>
          <w:p w14:paraId="04CDFD93">
            <w:pPr>
              <w:jc w:val="both"/>
              <w:rPr>
                <w:rFonts w:hint="eastAsia" w:ascii="宋体" w:hAnsi="宋体" w:eastAsia="宋体" w:cs="宋体"/>
                <w:sz w:val="24"/>
                <w:szCs w:val="24"/>
                <w:vertAlign w:val="baseline"/>
              </w:rPr>
            </w:pPr>
          </w:p>
        </w:tc>
        <w:tc>
          <w:tcPr>
            <w:tcW w:w="1388" w:type="dxa"/>
            <w:shd w:val="clear" w:color="auto" w:fill="auto"/>
            <w:vAlign w:val="center"/>
          </w:tcPr>
          <w:p w14:paraId="5103CF2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3082" w:type="dxa"/>
            <w:gridSpan w:val="4"/>
            <w:shd w:val="clear" w:color="auto" w:fill="auto"/>
            <w:vAlign w:val="center"/>
          </w:tcPr>
          <w:p w14:paraId="23541AE6">
            <w:pPr>
              <w:jc w:val="both"/>
              <w:rPr>
                <w:rFonts w:hint="eastAsia" w:ascii="宋体" w:hAnsi="宋体" w:eastAsia="宋体" w:cs="宋体"/>
                <w:sz w:val="24"/>
                <w:szCs w:val="24"/>
                <w:vertAlign w:val="baseline"/>
              </w:rPr>
            </w:pPr>
          </w:p>
        </w:tc>
      </w:tr>
      <w:tr w14:paraId="63A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56EAF22D">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084FEDC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网站地址</w:t>
            </w:r>
          </w:p>
        </w:tc>
        <w:tc>
          <w:tcPr>
            <w:tcW w:w="7636" w:type="dxa"/>
            <w:gridSpan w:val="8"/>
            <w:shd w:val="clear" w:color="auto" w:fill="auto"/>
            <w:vAlign w:val="center"/>
          </w:tcPr>
          <w:p w14:paraId="5365324B">
            <w:pPr>
              <w:jc w:val="both"/>
              <w:rPr>
                <w:rFonts w:hint="default" w:ascii="宋体" w:hAnsi="宋体" w:eastAsia="宋体" w:cs="宋体"/>
                <w:sz w:val="24"/>
                <w:szCs w:val="24"/>
                <w:vertAlign w:val="baseline"/>
                <w:lang w:val="en-US" w:eastAsia="zh-CN"/>
              </w:rPr>
            </w:pPr>
          </w:p>
        </w:tc>
      </w:tr>
      <w:tr w14:paraId="560C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trPr>
        <w:tc>
          <w:tcPr>
            <w:tcW w:w="435" w:type="dxa"/>
            <w:vMerge w:val="continue"/>
            <w:shd w:val="clear" w:color="auto" w:fill="auto"/>
            <w:vAlign w:val="center"/>
          </w:tcPr>
          <w:p w14:paraId="09509BBD">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26B77C74">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伦理委员会名称</w:t>
            </w:r>
          </w:p>
        </w:tc>
        <w:tc>
          <w:tcPr>
            <w:tcW w:w="3166" w:type="dxa"/>
            <w:gridSpan w:val="3"/>
            <w:shd w:val="clear" w:color="auto" w:fill="auto"/>
            <w:vAlign w:val="center"/>
          </w:tcPr>
          <w:p w14:paraId="4AA8EAF0">
            <w:pPr>
              <w:jc w:val="both"/>
              <w:rPr>
                <w:rFonts w:hint="default" w:ascii="宋体" w:hAnsi="宋体" w:eastAsia="宋体" w:cs="宋体"/>
                <w:sz w:val="24"/>
                <w:szCs w:val="24"/>
                <w:vertAlign w:val="baseline"/>
                <w:lang w:val="en-US"/>
              </w:rPr>
            </w:pPr>
            <w:r>
              <w:rPr>
                <w:rFonts w:hint="eastAsia" w:ascii="宋体" w:hAnsi="宋体" w:eastAsia="宋体" w:cs="宋体"/>
                <w:sz w:val="24"/>
                <w:szCs w:val="24"/>
                <w:lang w:eastAsia="zh-CN"/>
              </w:rPr>
              <w:t>医院</w:t>
            </w:r>
            <w:r>
              <w:rPr>
                <w:rFonts w:ascii="宋体" w:hAnsi="宋体" w:eastAsia="宋体" w:cs="宋体"/>
                <w:sz w:val="24"/>
                <w:szCs w:val="24"/>
              </w:rPr>
              <w:t>伦理委员会</w:t>
            </w:r>
          </w:p>
        </w:tc>
        <w:tc>
          <w:tcPr>
            <w:tcW w:w="1388" w:type="dxa"/>
            <w:shd w:val="clear" w:color="auto" w:fill="auto"/>
            <w:vAlign w:val="center"/>
          </w:tcPr>
          <w:p w14:paraId="4D174F3F">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开具的票据名称</w:t>
            </w:r>
          </w:p>
        </w:tc>
        <w:tc>
          <w:tcPr>
            <w:tcW w:w="3082" w:type="dxa"/>
            <w:gridSpan w:val="4"/>
            <w:shd w:val="clear" w:color="auto" w:fill="auto"/>
            <w:vAlign w:val="center"/>
          </w:tcPr>
          <w:p w14:paraId="4085B94B">
            <w:pPr>
              <w:jc w:val="both"/>
              <w:rPr>
                <w:rFonts w:hint="eastAsia" w:ascii="宋体" w:hAnsi="宋体" w:eastAsia="宋体" w:cs="宋体"/>
                <w:sz w:val="24"/>
                <w:szCs w:val="24"/>
                <w:vertAlign w:val="baseline"/>
              </w:rPr>
            </w:pPr>
          </w:p>
        </w:tc>
      </w:tr>
      <w:tr w14:paraId="684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restart"/>
            <w:shd w:val="clear" w:color="auto" w:fill="auto"/>
            <w:vAlign w:val="center"/>
          </w:tcPr>
          <w:p w14:paraId="6B70FBAC">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项目组成员</w:t>
            </w:r>
          </w:p>
        </w:tc>
        <w:tc>
          <w:tcPr>
            <w:tcW w:w="1154" w:type="dxa"/>
            <w:shd w:val="clear" w:color="auto" w:fill="auto"/>
            <w:vAlign w:val="center"/>
          </w:tcPr>
          <w:p w14:paraId="77E7958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2432" w:type="dxa"/>
            <w:gridSpan w:val="3"/>
            <w:shd w:val="clear" w:color="auto" w:fill="auto"/>
            <w:vAlign w:val="center"/>
          </w:tcPr>
          <w:p w14:paraId="6575EF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1325" w:type="dxa"/>
            <w:shd w:val="clear" w:color="auto" w:fill="auto"/>
            <w:vAlign w:val="center"/>
          </w:tcPr>
          <w:p w14:paraId="034CF1A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医院/科室</w:t>
            </w:r>
          </w:p>
        </w:tc>
        <w:tc>
          <w:tcPr>
            <w:tcW w:w="1388" w:type="dxa"/>
            <w:shd w:val="clear" w:color="auto" w:fill="auto"/>
            <w:vAlign w:val="center"/>
          </w:tcPr>
          <w:p w14:paraId="11F6B0F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575" w:type="dxa"/>
            <w:gridSpan w:val="2"/>
            <w:shd w:val="clear" w:color="auto" w:fill="auto"/>
            <w:vAlign w:val="center"/>
          </w:tcPr>
          <w:p w14:paraId="7367DA1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507" w:type="dxa"/>
            <w:gridSpan w:val="2"/>
            <w:shd w:val="clear" w:color="auto" w:fill="auto"/>
            <w:vAlign w:val="center"/>
          </w:tcPr>
          <w:p w14:paraId="4EF5BD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职责</w:t>
            </w:r>
          </w:p>
        </w:tc>
      </w:tr>
      <w:tr w14:paraId="7F66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06951AD2">
            <w:pPr>
              <w:jc w:val="both"/>
              <w:rPr>
                <w:rFonts w:hint="eastAsia" w:ascii="宋体" w:hAnsi="宋体" w:eastAsia="宋体" w:cs="宋体"/>
                <w:sz w:val="24"/>
                <w:szCs w:val="24"/>
                <w:vertAlign w:val="baseline"/>
              </w:rPr>
            </w:pPr>
          </w:p>
        </w:tc>
        <w:tc>
          <w:tcPr>
            <w:tcW w:w="1154" w:type="dxa"/>
            <w:shd w:val="clear" w:color="auto" w:fill="auto"/>
            <w:vAlign w:val="center"/>
          </w:tcPr>
          <w:p w14:paraId="02171FE9">
            <w:pPr>
              <w:jc w:val="center"/>
              <w:rPr>
                <w:rFonts w:hint="eastAsia" w:ascii="宋体" w:hAnsi="宋体" w:eastAsia="宋体" w:cs="宋体"/>
                <w:sz w:val="24"/>
                <w:szCs w:val="24"/>
                <w:vertAlign w:val="baseline"/>
              </w:rPr>
            </w:pPr>
          </w:p>
        </w:tc>
        <w:tc>
          <w:tcPr>
            <w:tcW w:w="2432" w:type="dxa"/>
            <w:gridSpan w:val="3"/>
            <w:shd w:val="clear" w:color="auto" w:fill="auto"/>
            <w:vAlign w:val="center"/>
          </w:tcPr>
          <w:p w14:paraId="04946165">
            <w:pPr>
              <w:jc w:val="center"/>
              <w:rPr>
                <w:rFonts w:hint="eastAsia" w:ascii="宋体" w:hAnsi="宋体" w:eastAsia="宋体" w:cs="宋体"/>
                <w:sz w:val="24"/>
                <w:szCs w:val="24"/>
                <w:vertAlign w:val="baseline"/>
              </w:rPr>
            </w:pPr>
          </w:p>
        </w:tc>
        <w:tc>
          <w:tcPr>
            <w:tcW w:w="1325" w:type="dxa"/>
            <w:shd w:val="clear" w:color="auto" w:fill="auto"/>
            <w:vAlign w:val="center"/>
          </w:tcPr>
          <w:p w14:paraId="22FBF1CD">
            <w:pPr>
              <w:jc w:val="center"/>
              <w:rPr>
                <w:rFonts w:hint="eastAsia" w:ascii="宋体" w:hAnsi="宋体" w:eastAsia="宋体" w:cs="宋体"/>
                <w:sz w:val="24"/>
                <w:szCs w:val="24"/>
                <w:vertAlign w:val="baseline"/>
                <w:lang w:val="en-US" w:eastAsia="zh-CN"/>
              </w:rPr>
            </w:pPr>
          </w:p>
        </w:tc>
        <w:tc>
          <w:tcPr>
            <w:tcW w:w="1388" w:type="dxa"/>
            <w:shd w:val="clear" w:color="auto" w:fill="auto"/>
            <w:vAlign w:val="center"/>
          </w:tcPr>
          <w:p w14:paraId="1630CAC8">
            <w:pPr>
              <w:jc w:val="center"/>
              <w:rPr>
                <w:rFonts w:hint="eastAsia" w:ascii="宋体" w:hAnsi="宋体" w:eastAsia="宋体" w:cs="宋体"/>
                <w:sz w:val="24"/>
                <w:szCs w:val="24"/>
                <w:vertAlign w:val="baseline"/>
                <w:lang w:val="en-US" w:eastAsia="zh-CN"/>
              </w:rPr>
            </w:pPr>
          </w:p>
        </w:tc>
        <w:tc>
          <w:tcPr>
            <w:tcW w:w="1575" w:type="dxa"/>
            <w:gridSpan w:val="2"/>
            <w:shd w:val="clear" w:color="auto" w:fill="auto"/>
            <w:vAlign w:val="center"/>
          </w:tcPr>
          <w:p w14:paraId="6F17BC13">
            <w:pPr>
              <w:jc w:val="center"/>
              <w:rPr>
                <w:rFonts w:hint="eastAsia" w:ascii="宋体" w:hAnsi="宋体" w:eastAsia="宋体" w:cs="宋体"/>
                <w:sz w:val="24"/>
                <w:szCs w:val="24"/>
                <w:vertAlign w:val="baseline"/>
              </w:rPr>
            </w:pPr>
          </w:p>
        </w:tc>
        <w:tc>
          <w:tcPr>
            <w:tcW w:w="1507" w:type="dxa"/>
            <w:gridSpan w:val="2"/>
            <w:shd w:val="clear" w:color="auto" w:fill="auto"/>
            <w:vAlign w:val="center"/>
          </w:tcPr>
          <w:p w14:paraId="3E60B6C8">
            <w:pPr>
              <w:jc w:val="center"/>
              <w:rPr>
                <w:rFonts w:hint="default" w:ascii="宋体" w:hAnsi="宋体" w:eastAsia="宋体" w:cs="宋体"/>
                <w:sz w:val="24"/>
                <w:szCs w:val="24"/>
                <w:vertAlign w:val="baseline"/>
                <w:lang w:val="en-US" w:eastAsia="zh-CN"/>
              </w:rPr>
            </w:pPr>
          </w:p>
        </w:tc>
      </w:tr>
      <w:tr w14:paraId="143B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70910D95">
            <w:pPr>
              <w:jc w:val="both"/>
              <w:rPr>
                <w:rFonts w:hint="eastAsia" w:ascii="宋体" w:hAnsi="宋体" w:eastAsia="宋体" w:cs="宋体"/>
                <w:sz w:val="24"/>
                <w:szCs w:val="24"/>
                <w:vertAlign w:val="baseline"/>
              </w:rPr>
            </w:pPr>
          </w:p>
        </w:tc>
        <w:tc>
          <w:tcPr>
            <w:tcW w:w="1154" w:type="dxa"/>
            <w:shd w:val="clear" w:color="auto" w:fill="auto"/>
            <w:vAlign w:val="center"/>
          </w:tcPr>
          <w:p w14:paraId="2C53DB86">
            <w:pPr>
              <w:jc w:val="center"/>
              <w:rPr>
                <w:rFonts w:hint="eastAsia" w:ascii="宋体" w:hAnsi="宋体" w:eastAsia="宋体" w:cs="宋体"/>
                <w:sz w:val="24"/>
                <w:szCs w:val="24"/>
                <w:vertAlign w:val="baseline"/>
              </w:rPr>
            </w:pPr>
          </w:p>
        </w:tc>
        <w:tc>
          <w:tcPr>
            <w:tcW w:w="2432" w:type="dxa"/>
            <w:gridSpan w:val="3"/>
            <w:shd w:val="clear" w:color="auto" w:fill="auto"/>
            <w:vAlign w:val="center"/>
          </w:tcPr>
          <w:p w14:paraId="51CB3EF6">
            <w:pPr>
              <w:jc w:val="center"/>
              <w:rPr>
                <w:rFonts w:hint="eastAsia" w:ascii="宋体" w:hAnsi="宋体" w:eastAsia="宋体" w:cs="宋体"/>
                <w:sz w:val="24"/>
                <w:szCs w:val="24"/>
                <w:vertAlign w:val="baseline"/>
              </w:rPr>
            </w:pPr>
          </w:p>
        </w:tc>
        <w:tc>
          <w:tcPr>
            <w:tcW w:w="1325" w:type="dxa"/>
            <w:shd w:val="clear" w:color="auto" w:fill="auto"/>
            <w:vAlign w:val="center"/>
          </w:tcPr>
          <w:p w14:paraId="5A9365E3">
            <w:pPr>
              <w:jc w:val="center"/>
              <w:rPr>
                <w:rFonts w:hint="eastAsia" w:ascii="宋体" w:hAnsi="宋体" w:eastAsia="宋体" w:cs="宋体"/>
                <w:sz w:val="24"/>
                <w:szCs w:val="24"/>
                <w:vertAlign w:val="baseline"/>
              </w:rPr>
            </w:pPr>
          </w:p>
        </w:tc>
        <w:tc>
          <w:tcPr>
            <w:tcW w:w="1388" w:type="dxa"/>
            <w:shd w:val="clear" w:color="auto" w:fill="auto"/>
            <w:vAlign w:val="center"/>
          </w:tcPr>
          <w:p w14:paraId="5E3F35FF">
            <w:pPr>
              <w:jc w:val="center"/>
              <w:rPr>
                <w:rFonts w:hint="eastAsia" w:ascii="宋体" w:hAnsi="宋体" w:eastAsia="宋体" w:cs="宋体"/>
                <w:sz w:val="24"/>
                <w:szCs w:val="24"/>
                <w:vertAlign w:val="baseline"/>
              </w:rPr>
            </w:pPr>
          </w:p>
        </w:tc>
        <w:tc>
          <w:tcPr>
            <w:tcW w:w="1575" w:type="dxa"/>
            <w:gridSpan w:val="2"/>
            <w:shd w:val="clear" w:color="auto" w:fill="auto"/>
            <w:vAlign w:val="center"/>
          </w:tcPr>
          <w:p w14:paraId="71CF6FB1">
            <w:pPr>
              <w:jc w:val="center"/>
              <w:rPr>
                <w:rFonts w:hint="eastAsia" w:ascii="宋体" w:hAnsi="宋体" w:eastAsia="宋体" w:cs="宋体"/>
                <w:sz w:val="24"/>
                <w:szCs w:val="24"/>
                <w:vertAlign w:val="baseline"/>
              </w:rPr>
            </w:pPr>
          </w:p>
        </w:tc>
        <w:tc>
          <w:tcPr>
            <w:tcW w:w="1507" w:type="dxa"/>
            <w:gridSpan w:val="2"/>
            <w:shd w:val="clear" w:color="auto" w:fill="auto"/>
            <w:vAlign w:val="center"/>
          </w:tcPr>
          <w:p w14:paraId="35D2C639">
            <w:pPr>
              <w:jc w:val="center"/>
              <w:rPr>
                <w:rFonts w:hint="eastAsia" w:ascii="宋体" w:hAnsi="宋体" w:eastAsia="宋体" w:cs="宋体"/>
                <w:sz w:val="24"/>
                <w:szCs w:val="24"/>
                <w:vertAlign w:val="baseline"/>
              </w:rPr>
            </w:pPr>
          </w:p>
        </w:tc>
      </w:tr>
      <w:tr w14:paraId="64BC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68978E36">
            <w:pPr>
              <w:jc w:val="both"/>
              <w:rPr>
                <w:rFonts w:hint="eastAsia" w:ascii="宋体" w:hAnsi="宋体" w:eastAsia="宋体" w:cs="宋体"/>
                <w:sz w:val="24"/>
                <w:szCs w:val="24"/>
                <w:vertAlign w:val="baseline"/>
              </w:rPr>
            </w:pPr>
          </w:p>
        </w:tc>
        <w:tc>
          <w:tcPr>
            <w:tcW w:w="1154" w:type="dxa"/>
            <w:shd w:val="clear" w:color="auto" w:fill="auto"/>
            <w:vAlign w:val="center"/>
          </w:tcPr>
          <w:p w14:paraId="2F00FDE6">
            <w:pPr>
              <w:jc w:val="center"/>
              <w:rPr>
                <w:rFonts w:hint="eastAsia" w:ascii="宋体" w:hAnsi="宋体" w:eastAsia="宋体" w:cs="宋体"/>
                <w:sz w:val="24"/>
                <w:szCs w:val="24"/>
                <w:vertAlign w:val="baseline"/>
              </w:rPr>
            </w:pPr>
          </w:p>
        </w:tc>
        <w:tc>
          <w:tcPr>
            <w:tcW w:w="2432" w:type="dxa"/>
            <w:gridSpan w:val="3"/>
            <w:shd w:val="clear" w:color="auto" w:fill="auto"/>
            <w:vAlign w:val="center"/>
          </w:tcPr>
          <w:p w14:paraId="57F9E464">
            <w:pPr>
              <w:jc w:val="center"/>
              <w:rPr>
                <w:rFonts w:hint="eastAsia" w:ascii="宋体" w:hAnsi="宋体" w:eastAsia="宋体" w:cs="宋体"/>
                <w:sz w:val="24"/>
                <w:szCs w:val="24"/>
                <w:vertAlign w:val="baseline"/>
              </w:rPr>
            </w:pPr>
          </w:p>
        </w:tc>
        <w:tc>
          <w:tcPr>
            <w:tcW w:w="1325" w:type="dxa"/>
            <w:shd w:val="clear" w:color="auto" w:fill="auto"/>
            <w:vAlign w:val="center"/>
          </w:tcPr>
          <w:p w14:paraId="1BD25FF8">
            <w:pPr>
              <w:jc w:val="center"/>
              <w:rPr>
                <w:rFonts w:hint="eastAsia" w:ascii="宋体" w:hAnsi="宋体" w:eastAsia="宋体" w:cs="宋体"/>
                <w:sz w:val="24"/>
                <w:szCs w:val="24"/>
                <w:vertAlign w:val="baseline"/>
              </w:rPr>
            </w:pPr>
          </w:p>
        </w:tc>
        <w:tc>
          <w:tcPr>
            <w:tcW w:w="1388" w:type="dxa"/>
            <w:shd w:val="clear" w:color="auto" w:fill="auto"/>
            <w:vAlign w:val="center"/>
          </w:tcPr>
          <w:p w14:paraId="19CABD2D">
            <w:pPr>
              <w:jc w:val="center"/>
              <w:rPr>
                <w:rFonts w:hint="eastAsia" w:ascii="宋体" w:hAnsi="宋体" w:eastAsia="宋体" w:cs="宋体"/>
                <w:sz w:val="24"/>
                <w:szCs w:val="24"/>
                <w:vertAlign w:val="baseline"/>
              </w:rPr>
            </w:pPr>
          </w:p>
        </w:tc>
        <w:tc>
          <w:tcPr>
            <w:tcW w:w="1575" w:type="dxa"/>
            <w:gridSpan w:val="2"/>
            <w:shd w:val="clear" w:color="auto" w:fill="auto"/>
            <w:vAlign w:val="center"/>
          </w:tcPr>
          <w:p w14:paraId="5A18132A">
            <w:pPr>
              <w:jc w:val="center"/>
              <w:rPr>
                <w:rFonts w:hint="eastAsia" w:ascii="宋体" w:hAnsi="宋体" w:eastAsia="宋体" w:cs="宋体"/>
                <w:sz w:val="24"/>
                <w:szCs w:val="24"/>
                <w:vertAlign w:val="baseline"/>
              </w:rPr>
            </w:pPr>
          </w:p>
        </w:tc>
        <w:tc>
          <w:tcPr>
            <w:tcW w:w="1507" w:type="dxa"/>
            <w:gridSpan w:val="2"/>
            <w:shd w:val="clear" w:color="auto" w:fill="auto"/>
            <w:vAlign w:val="center"/>
          </w:tcPr>
          <w:p w14:paraId="7A50D310">
            <w:pPr>
              <w:jc w:val="center"/>
              <w:rPr>
                <w:rFonts w:hint="eastAsia" w:ascii="宋体" w:hAnsi="宋体" w:eastAsia="宋体" w:cs="宋体"/>
                <w:sz w:val="24"/>
                <w:szCs w:val="24"/>
                <w:vertAlign w:val="baseline"/>
              </w:rPr>
            </w:pPr>
          </w:p>
        </w:tc>
      </w:tr>
      <w:tr w14:paraId="3E9A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35" w:type="dxa"/>
            <w:vMerge w:val="continue"/>
            <w:shd w:val="clear" w:color="auto" w:fill="auto"/>
            <w:vAlign w:val="center"/>
          </w:tcPr>
          <w:p w14:paraId="7115D14D">
            <w:pPr>
              <w:jc w:val="both"/>
              <w:rPr>
                <w:rFonts w:hint="eastAsia" w:ascii="宋体" w:hAnsi="宋体" w:eastAsia="宋体" w:cs="宋体"/>
                <w:sz w:val="24"/>
                <w:szCs w:val="24"/>
                <w:vertAlign w:val="baseline"/>
              </w:rPr>
            </w:pPr>
          </w:p>
        </w:tc>
        <w:tc>
          <w:tcPr>
            <w:tcW w:w="1154" w:type="dxa"/>
            <w:shd w:val="clear" w:color="auto" w:fill="auto"/>
            <w:vAlign w:val="center"/>
          </w:tcPr>
          <w:p w14:paraId="797AEE67">
            <w:pPr>
              <w:jc w:val="center"/>
              <w:rPr>
                <w:rFonts w:hint="eastAsia" w:ascii="宋体" w:hAnsi="宋体" w:eastAsia="宋体" w:cs="宋体"/>
                <w:sz w:val="24"/>
                <w:szCs w:val="24"/>
                <w:vertAlign w:val="baseline"/>
              </w:rPr>
            </w:pPr>
          </w:p>
        </w:tc>
        <w:tc>
          <w:tcPr>
            <w:tcW w:w="2432" w:type="dxa"/>
            <w:gridSpan w:val="3"/>
            <w:shd w:val="clear" w:color="auto" w:fill="auto"/>
            <w:vAlign w:val="center"/>
          </w:tcPr>
          <w:p w14:paraId="2FDC1A0F">
            <w:pPr>
              <w:jc w:val="center"/>
              <w:rPr>
                <w:rFonts w:hint="eastAsia" w:ascii="宋体" w:hAnsi="宋体" w:eastAsia="宋体" w:cs="宋体"/>
                <w:sz w:val="24"/>
                <w:szCs w:val="24"/>
                <w:vertAlign w:val="baseline"/>
              </w:rPr>
            </w:pPr>
          </w:p>
        </w:tc>
        <w:tc>
          <w:tcPr>
            <w:tcW w:w="1325" w:type="dxa"/>
            <w:shd w:val="clear" w:color="auto" w:fill="auto"/>
            <w:vAlign w:val="center"/>
          </w:tcPr>
          <w:p w14:paraId="4703F3B3">
            <w:pPr>
              <w:jc w:val="center"/>
              <w:rPr>
                <w:rFonts w:hint="eastAsia" w:ascii="宋体" w:hAnsi="宋体" w:eastAsia="宋体" w:cs="宋体"/>
                <w:sz w:val="24"/>
                <w:szCs w:val="24"/>
                <w:vertAlign w:val="baseline"/>
              </w:rPr>
            </w:pPr>
          </w:p>
        </w:tc>
        <w:tc>
          <w:tcPr>
            <w:tcW w:w="1388" w:type="dxa"/>
            <w:shd w:val="clear" w:color="auto" w:fill="auto"/>
            <w:vAlign w:val="center"/>
          </w:tcPr>
          <w:p w14:paraId="47C7040F">
            <w:pPr>
              <w:jc w:val="center"/>
              <w:rPr>
                <w:rFonts w:hint="eastAsia" w:ascii="宋体" w:hAnsi="宋体" w:eastAsia="宋体" w:cs="宋体"/>
                <w:sz w:val="24"/>
                <w:szCs w:val="24"/>
                <w:vertAlign w:val="baseline"/>
              </w:rPr>
            </w:pPr>
          </w:p>
        </w:tc>
        <w:tc>
          <w:tcPr>
            <w:tcW w:w="1575" w:type="dxa"/>
            <w:gridSpan w:val="2"/>
            <w:shd w:val="clear" w:color="auto" w:fill="auto"/>
            <w:vAlign w:val="center"/>
          </w:tcPr>
          <w:p w14:paraId="57A281F5">
            <w:pPr>
              <w:jc w:val="center"/>
              <w:rPr>
                <w:rFonts w:hint="eastAsia" w:ascii="宋体" w:hAnsi="宋体" w:eastAsia="宋体" w:cs="宋体"/>
                <w:sz w:val="24"/>
                <w:szCs w:val="24"/>
                <w:vertAlign w:val="baseline"/>
              </w:rPr>
            </w:pPr>
          </w:p>
        </w:tc>
        <w:tc>
          <w:tcPr>
            <w:tcW w:w="1507" w:type="dxa"/>
            <w:gridSpan w:val="2"/>
            <w:shd w:val="clear" w:color="auto" w:fill="auto"/>
            <w:vAlign w:val="center"/>
          </w:tcPr>
          <w:p w14:paraId="197014F2">
            <w:pPr>
              <w:jc w:val="center"/>
              <w:rPr>
                <w:rFonts w:hint="eastAsia" w:ascii="宋体" w:hAnsi="宋体" w:eastAsia="宋体" w:cs="宋体"/>
                <w:sz w:val="24"/>
                <w:szCs w:val="24"/>
                <w:vertAlign w:val="baseline"/>
              </w:rPr>
            </w:pPr>
          </w:p>
        </w:tc>
      </w:tr>
      <w:tr w14:paraId="1C02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435" w:type="dxa"/>
            <w:vMerge w:val="restart"/>
            <w:shd w:val="clear" w:color="auto" w:fill="auto"/>
            <w:vAlign w:val="center"/>
          </w:tcPr>
          <w:p w14:paraId="05DE8D98">
            <w:pPr>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课题</w:t>
            </w:r>
          </w:p>
        </w:tc>
        <w:tc>
          <w:tcPr>
            <w:tcW w:w="1745" w:type="dxa"/>
            <w:gridSpan w:val="2"/>
            <w:shd w:val="clear" w:color="auto" w:fill="auto"/>
            <w:vAlign w:val="center"/>
          </w:tcPr>
          <w:p w14:paraId="7E939B35">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研究课题</w:t>
            </w:r>
          </w:p>
        </w:tc>
        <w:tc>
          <w:tcPr>
            <w:tcW w:w="7636" w:type="dxa"/>
            <w:gridSpan w:val="8"/>
            <w:shd w:val="clear" w:color="auto" w:fill="auto"/>
            <w:vAlign w:val="center"/>
          </w:tcPr>
          <w:p w14:paraId="0259DCD8">
            <w:pPr>
              <w:jc w:val="both"/>
              <w:rPr>
                <w:rFonts w:hint="eastAsia" w:ascii="宋体" w:hAnsi="宋体" w:eastAsia="宋体" w:cs="宋体"/>
                <w:sz w:val="24"/>
                <w:szCs w:val="24"/>
                <w:vertAlign w:val="baseline"/>
              </w:rPr>
            </w:pPr>
            <w:r>
              <w:rPr>
                <w:rFonts w:hint="eastAsia" w:ascii="宋体" w:hAnsi="宋体" w:cs="宋体"/>
                <w:color w:val="000000"/>
                <w:sz w:val="24"/>
              </w:rPr>
              <w:t>中国儿童生长激素长期疗效及安全性评估项目—一项开放、多中心、前瞻性与回顾性的观察性研究</w:t>
            </w:r>
          </w:p>
        </w:tc>
      </w:tr>
      <w:tr w14:paraId="1040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435" w:type="dxa"/>
            <w:vMerge w:val="continue"/>
            <w:shd w:val="clear" w:color="auto" w:fill="auto"/>
            <w:vAlign w:val="center"/>
          </w:tcPr>
          <w:p w14:paraId="2BE08F2D">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79EE071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执行期限</w:t>
            </w:r>
          </w:p>
        </w:tc>
        <w:tc>
          <w:tcPr>
            <w:tcW w:w="1841" w:type="dxa"/>
            <w:gridSpan w:val="2"/>
            <w:shd w:val="clear" w:color="auto" w:fill="auto"/>
            <w:vAlign w:val="center"/>
          </w:tcPr>
          <w:p w14:paraId="7F0094F5">
            <w:pPr>
              <w:jc w:val="both"/>
              <w:rPr>
                <w:rFonts w:hint="eastAsia" w:ascii="宋体" w:hAnsi="宋体" w:eastAsia="宋体" w:cs="宋体"/>
                <w:sz w:val="24"/>
                <w:szCs w:val="24"/>
                <w:vertAlign w:val="baseline"/>
              </w:rPr>
            </w:pPr>
            <w:r>
              <w:rPr>
                <w:rFonts w:hint="eastAsia" w:ascii="宋体" w:hAnsi="宋体" w:cs="宋体"/>
                <w:color w:val="000000"/>
                <w:sz w:val="24"/>
                <w:lang w:val="en-US" w:eastAsia="zh-CN"/>
              </w:rPr>
              <w:t>填表日期</w:t>
            </w:r>
            <w:r>
              <w:rPr>
                <w:rFonts w:hint="eastAsia" w:ascii="宋体" w:hAnsi="宋体" w:cs="宋体"/>
                <w:color w:val="000000"/>
                <w:sz w:val="24"/>
              </w:rPr>
              <w:t>-202</w:t>
            </w: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.31</w:t>
            </w:r>
          </w:p>
        </w:tc>
        <w:tc>
          <w:tcPr>
            <w:tcW w:w="1325" w:type="dxa"/>
            <w:shd w:val="clear" w:color="auto" w:fill="auto"/>
            <w:vAlign w:val="center"/>
          </w:tcPr>
          <w:p w14:paraId="2091C8C3">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伦理审批件的有效期</w:t>
            </w:r>
          </w:p>
        </w:tc>
        <w:tc>
          <w:tcPr>
            <w:tcW w:w="1388" w:type="dxa"/>
            <w:shd w:val="clear" w:color="auto" w:fill="auto"/>
            <w:vAlign w:val="center"/>
          </w:tcPr>
          <w:p w14:paraId="6557C9D3">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12个月</w:t>
            </w:r>
          </w:p>
        </w:tc>
        <w:tc>
          <w:tcPr>
            <w:tcW w:w="1575" w:type="dxa"/>
            <w:gridSpan w:val="2"/>
            <w:shd w:val="clear" w:color="auto" w:fill="auto"/>
            <w:vAlign w:val="center"/>
          </w:tcPr>
          <w:p w14:paraId="184335E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学科领域</w:t>
            </w:r>
          </w:p>
        </w:tc>
        <w:tc>
          <w:tcPr>
            <w:tcW w:w="1507" w:type="dxa"/>
            <w:gridSpan w:val="2"/>
            <w:shd w:val="clear" w:color="auto" w:fill="auto"/>
            <w:vAlign w:val="center"/>
          </w:tcPr>
          <w:p w14:paraId="15E57F45">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儿科</w:t>
            </w:r>
          </w:p>
        </w:tc>
      </w:tr>
      <w:tr w14:paraId="303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35" w:type="dxa"/>
            <w:vMerge w:val="continue"/>
            <w:shd w:val="clear" w:color="auto" w:fill="auto"/>
            <w:vAlign w:val="center"/>
          </w:tcPr>
          <w:p w14:paraId="12887BA7">
            <w:pPr>
              <w:jc w:val="both"/>
              <w:rPr>
                <w:rFonts w:hint="eastAsia" w:ascii="宋体" w:hAnsi="宋体" w:eastAsia="宋体" w:cs="宋体"/>
                <w:sz w:val="24"/>
                <w:szCs w:val="24"/>
                <w:vertAlign w:val="baseline"/>
              </w:rPr>
            </w:pPr>
          </w:p>
        </w:tc>
        <w:tc>
          <w:tcPr>
            <w:tcW w:w="1745" w:type="dxa"/>
            <w:gridSpan w:val="2"/>
            <w:shd w:val="clear" w:color="auto" w:fill="auto"/>
            <w:vAlign w:val="center"/>
          </w:tcPr>
          <w:p w14:paraId="19B3AA50">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研究性质</w:t>
            </w:r>
          </w:p>
        </w:tc>
        <w:tc>
          <w:tcPr>
            <w:tcW w:w="7636" w:type="dxa"/>
            <w:gridSpan w:val="8"/>
            <w:shd w:val="clear" w:color="auto" w:fill="auto"/>
            <w:vAlign w:val="center"/>
          </w:tcPr>
          <w:p w14:paraId="35F361AA">
            <w:pPr>
              <w:jc w:val="both"/>
              <w:rPr>
                <w:rFonts w:hint="eastAsia" w:ascii="宋体" w:hAnsi="宋体" w:eastAsia="宋体" w:cs="宋体"/>
                <w:sz w:val="24"/>
                <w:szCs w:val="24"/>
                <w:vertAlign w:val="baseline"/>
              </w:rPr>
            </w:pPr>
            <w:r>
              <w:rPr>
                <w:rFonts w:hint="eastAsia" w:ascii="仿宋_GB2312" w:hAnsi="Calibri" w:eastAsia="仿宋_GB2312"/>
                <w:kern w:val="0"/>
                <w:sz w:val="24"/>
              </w:rPr>
              <w:t>□</w:t>
            </w:r>
            <w:r>
              <w:rPr>
                <w:rFonts w:hint="eastAsia" w:ascii="宋体" w:hAnsi="宋体" w:cs="宋体"/>
                <w:color w:val="000000"/>
                <w:sz w:val="24"/>
              </w:rPr>
              <w:t xml:space="preserve">试验性研究  </w:t>
            </w:r>
            <w:r>
              <w:rPr>
                <w:rFonts w:hint="eastAsia" w:ascii="仿宋_GB2312" w:hAnsi="Calibri" w:eastAsia="仿宋_GB2312"/>
                <w:kern w:val="0"/>
                <w:sz w:val="24"/>
              </w:rPr>
              <w:sym w:font="Wingdings 2" w:char="0052"/>
            </w:r>
            <w:r>
              <w:rPr>
                <w:rFonts w:hint="eastAsia" w:ascii="宋体" w:hAnsi="宋体" w:cs="宋体"/>
                <w:color w:val="000000"/>
                <w:sz w:val="24"/>
              </w:rPr>
              <w:t xml:space="preserve">观察性研究   </w:t>
            </w:r>
            <w:r>
              <w:rPr>
                <w:rFonts w:hint="eastAsia" w:ascii="仿宋_GB2312" w:hAnsi="Calibri" w:eastAsia="仿宋_GB2312"/>
                <w:kern w:val="0"/>
                <w:sz w:val="24"/>
              </w:rPr>
              <w:sym w:font="Wingdings 2" w:char="0052"/>
            </w:r>
            <w:r>
              <w:rPr>
                <w:rFonts w:hint="eastAsia" w:ascii="宋体" w:hAnsi="宋体" w:cs="宋体"/>
                <w:color w:val="000000"/>
                <w:sz w:val="24"/>
              </w:rPr>
              <w:t xml:space="preserve">回顾性研究   </w:t>
            </w:r>
            <w:r>
              <w:rPr>
                <w:rFonts w:hint="eastAsia" w:ascii="仿宋_GB2312" w:hAnsi="Calibri" w:eastAsia="仿宋_GB2312"/>
                <w:kern w:val="0"/>
                <w:sz w:val="24"/>
              </w:rPr>
              <w:sym w:font="Wingdings 2" w:char="0052"/>
            </w:r>
            <w:r>
              <w:rPr>
                <w:rFonts w:hint="eastAsia" w:ascii="宋体" w:hAnsi="宋体" w:cs="宋体"/>
                <w:color w:val="000000"/>
                <w:sz w:val="24"/>
              </w:rPr>
              <w:t>前瞻性研究</w:t>
            </w:r>
          </w:p>
        </w:tc>
      </w:tr>
    </w:tbl>
    <w:p w14:paraId="2DE84488">
      <w:pPr>
        <w:rPr>
          <w:rFonts w:ascii="宋体" w:hAnsi="宋体" w:cs="宋体"/>
          <w:snapToGrid w:val="0"/>
          <w:color w:val="000000"/>
          <w:kern w:val="0"/>
          <w:sz w:val="24"/>
        </w:rPr>
      </w:pPr>
    </w:p>
    <w:p w14:paraId="3FE6A13F">
      <w:pPr>
        <w:widowControl/>
        <w:jc w:val="center"/>
        <w:rPr>
          <w:rFonts w:ascii="宋体" w:hAnsi="宋体" w:cs="宋体"/>
          <w:b/>
          <w:bCs/>
          <w:snapToGrid w:val="0"/>
          <w:color w:val="000000"/>
          <w:kern w:val="0"/>
          <w:sz w:val="30"/>
          <w:szCs w:val="30"/>
        </w:rPr>
      </w:pPr>
    </w:p>
    <w:p w14:paraId="7068DA0F">
      <w:pPr>
        <w:widowControl/>
        <w:jc w:val="center"/>
        <w:rPr>
          <w:rFonts w:ascii="宋体" w:hAnsi="宋体" w:cs="宋体"/>
          <w:b/>
          <w:kern w:val="0"/>
          <w:sz w:val="24"/>
        </w:rPr>
      </w:pPr>
      <w:r>
        <w:rPr>
          <w:rFonts w:hint="eastAsia" w:ascii="宋体" w:hAnsi="宋体" w:cs="宋体"/>
          <w:b/>
          <w:bCs/>
          <w:snapToGrid w:val="0"/>
          <w:color w:val="000000"/>
          <w:kern w:val="0"/>
          <w:sz w:val="30"/>
          <w:szCs w:val="30"/>
        </w:rPr>
        <w:t>三、课题研究方案</w:t>
      </w:r>
    </w:p>
    <w:p w14:paraId="6548F0E5">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一、研究背景、目的、立论依据、国内外研究现状等</w:t>
      </w:r>
    </w:p>
    <w:p w14:paraId="22838A2C">
      <w:pPr>
        <w:adjustRightInd w:val="0"/>
        <w:spacing w:line="300" w:lineRule="auto"/>
        <w:ind w:firstLine="480" w:firstLineChars="200"/>
        <w:textAlignment w:val="baseline"/>
        <w:rPr>
          <w:rFonts w:ascii="宋体" w:hAnsi="宋体" w:cs="宋体"/>
          <w:kern w:val="0"/>
          <w:sz w:val="24"/>
        </w:rPr>
      </w:pPr>
      <w:bookmarkStart w:id="1" w:name="_Hlk59634439"/>
      <w:bookmarkStart w:id="2" w:name="_Hlk124436639"/>
      <w:r>
        <w:rPr>
          <w:rFonts w:ascii="宋体" w:hAnsi="宋体" w:cs="宋体"/>
          <w:kern w:val="0"/>
          <w:sz w:val="24"/>
        </w:rPr>
        <w:t>1、研究背景</w:t>
      </w:r>
    </w:p>
    <w:p w14:paraId="698BE609">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儿童矮小症是儿科较常见疾病，是指在相似的生活环境下，同种族、同性别和同年龄的个体身高低于正常人群平均身高</w:t>
      </w:r>
      <w:r>
        <w:rPr>
          <w:rFonts w:ascii="宋体" w:hAnsi="宋体" w:cs="宋体"/>
          <w:kern w:val="0"/>
          <w:sz w:val="24"/>
        </w:rPr>
        <w:t>2</w:t>
      </w:r>
      <w:r>
        <w:rPr>
          <w:rFonts w:hint="eastAsia" w:ascii="宋体" w:hAnsi="宋体" w:cs="宋体"/>
          <w:kern w:val="0"/>
          <w:sz w:val="24"/>
        </w:rPr>
        <w:t>个标准差</w:t>
      </w:r>
      <w:r>
        <w:rPr>
          <w:rFonts w:ascii="宋体" w:hAnsi="宋体" w:cs="宋体"/>
          <w:kern w:val="0"/>
          <w:sz w:val="24"/>
        </w:rPr>
        <w:t>(-2SD)</w:t>
      </w:r>
      <w:r>
        <w:rPr>
          <w:rFonts w:hint="eastAsia" w:ascii="宋体" w:hAnsi="宋体" w:cs="宋体"/>
          <w:kern w:val="0"/>
          <w:sz w:val="24"/>
        </w:rPr>
        <w:t>，或低于第三百分位数</w:t>
      </w:r>
      <w:r>
        <w:rPr>
          <w:rFonts w:ascii="宋体" w:hAnsi="宋体" w:cs="宋体"/>
          <w:kern w:val="0"/>
          <w:sz w:val="24"/>
        </w:rPr>
        <w:t>(-1.88SD)</w:t>
      </w:r>
      <w:r>
        <w:rPr>
          <w:rFonts w:hint="eastAsia" w:ascii="宋体" w:hAnsi="宋体" w:cs="宋体"/>
          <w:kern w:val="0"/>
          <w:sz w:val="24"/>
        </w:rPr>
        <w:t>。儿童矮小症原因复杂，内分泌疾病、先天遗传代谢性疾病、骨骼畸形、营养不良、精神心理因素、不合理使用药物等均可能导致矮小症。</w:t>
      </w:r>
    </w:p>
    <w:p w14:paraId="7AA60084">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矮小症儿童由于存在身体弱势，容易形成社会心理问题，表现出内向、抑郁，可能存在学习和社交障碍。严重矮小更可能会对患者成年后的职业生涯造成了极大的威胁。因此，针对矮小症儿童临床提倡早期发现早期治疗。外源性补充生长激素是治疗矮小症儿童的主要方法。目前临床上使用的生长激素主要有一天注射一次的短效和一周注射一次的长效两种剂型。短效生长激素因为上市时间较早，故应用范围较广。国外多项研究发现，短效生长激素治疗普遍存在漏针现象，依从性不佳，严重影响治疗效果。长效生长激素则可减少注射频率，从根本上提高治疗依从性。</w:t>
      </w:r>
      <w:bookmarkEnd w:id="1"/>
    </w:p>
    <w:p w14:paraId="6289D594">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2、研究目的</w:t>
      </w:r>
    </w:p>
    <w:p w14:paraId="5A5A3FF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本研究通过开展“</w:t>
      </w:r>
      <w:r>
        <w:rPr>
          <w:rFonts w:hint="eastAsia" w:ascii="宋体" w:hAnsi="宋体" w:cs="宋体"/>
          <w:kern w:val="0"/>
          <w:sz w:val="24"/>
          <w:lang w:val="zh-TW"/>
        </w:rPr>
        <w:t>中国儿童生长激素长期疗效及安全性评估项目—</w:t>
      </w:r>
      <w:r>
        <w:rPr>
          <w:rFonts w:hint="eastAsia" w:ascii="宋体" w:hAnsi="宋体" w:cs="宋体"/>
          <w:kern w:val="0"/>
          <w:sz w:val="24"/>
        </w:rPr>
        <w:t>一项</w:t>
      </w:r>
      <w:r>
        <w:rPr>
          <w:rFonts w:hint="eastAsia" w:ascii="宋体" w:hAnsi="宋体" w:cs="宋体"/>
          <w:kern w:val="0"/>
          <w:sz w:val="24"/>
          <w:lang w:val="zh-TW"/>
        </w:rPr>
        <w:t>开放、多中心、前瞻性与回顾性的观察性研究</w:t>
      </w:r>
      <w:r>
        <w:rPr>
          <w:rFonts w:hint="eastAsia" w:ascii="宋体" w:hAnsi="宋体" w:cs="宋体"/>
          <w:kern w:val="0"/>
          <w:sz w:val="24"/>
        </w:rPr>
        <w:t>”，进一步建立完善儿童成长激素安全性评估，帮助相关医疗机构建立长效管理机制，最终对儿童成长激素安全性和疗效建立长期监测。</w:t>
      </w:r>
    </w:p>
    <w:p w14:paraId="19C2ECE4">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3、立论依据</w:t>
      </w:r>
    </w:p>
    <w:p w14:paraId="26FB822C">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2016年PEG-rhGH</w:t>
      </w:r>
      <w:r>
        <w:rPr>
          <w:rFonts w:hint="eastAsia" w:ascii="宋体" w:hAnsi="宋体" w:cs="宋体"/>
          <w:kern w:val="0"/>
          <w:sz w:val="24"/>
        </w:rPr>
        <w:t>注射液的在儿童</w:t>
      </w:r>
      <w:r>
        <w:rPr>
          <w:rFonts w:ascii="宋体" w:hAnsi="宋体" w:cs="宋体"/>
          <w:kern w:val="0"/>
          <w:sz w:val="24"/>
        </w:rPr>
        <w:t>GHD的Ⅰ期临床试验结果发表，试验在12名GHD儿童中进行，研究发现PEG-rhGH</w:t>
      </w:r>
      <w:r>
        <w:rPr>
          <w:rFonts w:hint="eastAsia" w:ascii="宋体" w:hAnsi="宋体" w:cs="宋体"/>
          <w:kern w:val="0"/>
          <w:sz w:val="24"/>
        </w:rPr>
        <w:t>在</w:t>
      </w:r>
      <w:r>
        <w:rPr>
          <w:rFonts w:ascii="宋体" w:hAnsi="宋体" w:cs="宋体"/>
          <w:kern w:val="0"/>
          <w:sz w:val="24"/>
        </w:rPr>
        <w:t>2-4小时内迅速达峰，并于48-72小时维持峰浓度，后缓慢下降，其峰浓度、</w:t>
      </w:r>
      <w:r>
        <w:rPr>
          <w:rFonts w:hint="eastAsia" w:ascii="宋体" w:hAnsi="宋体" w:cs="宋体"/>
          <w:kern w:val="0"/>
          <w:sz w:val="24"/>
        </w:rPr>
        <w:t>半衰期及达峰时间明显高于短效生长激素，且无严重不良事件发生。之后Ⅱ期、Ⅲ期临床试验在全国</w:t>
      </w:r>
      <w:r>
        <w:rPr>
          <w:rFonts w:ascii="宋体" w:hAnsi="宋体" w:cs="宋体"/>
          <w:kern w:val="0"/>
          <w:sz w:val="24"/>
        </w:rPr>
        <w:t>6家医院进行，其中Ⅱ期招募97名GHD患者、Ⅲ期招募343名GHD患者，均证实了PEG-rhGH</w:t>
      </w:r>
      <w:r>
        <w:rPr>
          <w:rFonts w:hint="eastAsia" w:ascii="宋体" w:hAnsi="宋体" w:cs="宋体"/>
          <w:kern w:val="0"/>
          <w:sz w:val="24"/>
        </w:rPr>
        <w:t>的有效性和安全性。</w:t>
      </w:r>
    </w:p>
    <w:p w14:paraId="5AD7399E">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highlight w:val="none"/>
        </w:rPr>
        <w:t>基于此，为进一步为扩大样本量，并进一步观察疗效及安全性，探索扩展适应症，</w:t>
      </w:r>
      <w:r>
        <w:rPr>
          <w:rFonts w:hint="eastAsia" w:ascii="宋体" w:hAnsi="宋体" w:cs="宋体"/>
          <w:kern w:val="0"/>
          <w:sz w:val="24"/>
          <w:highlight w:val="none"/>
          <w:lang w:val="en-US" w:eastAsia="zh-CN"/>
        </w:rPr>
        <w:t>北京生命绿洲公益服务中心</w:t>
      </w:r>
      <w:r>
        <w:rPr>
          <w:rFonts w:hint="eastAsia" w:ascii="宋体" w:hAnsi="宋体" w:cs="宋体"/>
          <w:kern w:val="0"/>
          <w:sz w:val="24"/>
          <w:highlight w:val="none"/>
        </w:rPr>
        <w:t>计划于</w:t>
      </w:r>
      <w:r>
        <w:rPr>
          <w:rFonts w:ascii="宋体" w:hAnsi="宋体" w:cs="宋体"/>
          <w:kern w:val="0"/>
          <w:sz w:val="24"/>
          <w:highlight w:val="none"/>
        </w:rPr>
        <w:t>202</w:t>
      </w:r>
      <w:r>
        <w:rPr>
          <w:rFonts w:hint="eastAsia" w:ascii="宋体" w:hAnsi="宋体" w:cs="宋体"/>
          <w:kern w:val="0"/>
          <w:sz w:val="24"/>
          <w:highlight w:val="none"/>
          <w:lang w:val="en-US" w:eastAsia="zh-CN"/>
        </w:rPr>
        <w:t>5</w:t>
      </w:r>
      <w:r>
        <w:rPr>
          <w:rFonts w:ascii="宋体" w:hAnsi="宋体" w:cs="宋体"/>
          <w:kern w:val="0"/>
          <w:sz w:val="24"/>
          <w:highlight w:val="none"/>
        </w:rPr>
        <w:t>年</w:t>
      </w:r>
      <w:r>
        <w:rPr>
          <w:rFonts w:hint="eastAsia" w:ascii="宋体" w:hAnsi="宋体" w:cs="宋体"/>
          <w:kern w:val="0"/>
          <w:sz w:val="24"/>
          <w:highlight w:val="none"/>
          <w:lang w:val="en-US" w:eastAsia="zh-CN"/>
        </w:rPr>
        <w:t>5</w:t>
      </w:r>
      <w:r>
        <w:rPr>
          <w:rFonts w:ascii="宋体" w:hAnsi="宋体" w:cs="宋体"/>
          <w:kern w:val="0"/>
          <w:sz w:val="24"/>
          <w:highlight w:val="none"/>
        </w:rPr>
        <w:t>月-202</w:t>
      </w:r>
      <w:r>
        <w:rPr>
          <w:rFonts w:hint="eastAsia" w:ascii="宋体" w:hAnsi="宋体" w:cs="宋体"/>
          <w:kern w:val="0"/>
          <w:sz w:val="24"/>
          <w:highlight w:val="none"/>
          <w:lang w:val="en-US" w:eastAsia="zh-CN"/>
        </w:rPr>
        <w:t>9</w:t>
      </w:r>
      <w:r>
        <w:rPr>
          <w:rFonts w:ascii="宋体" w:hAnsi="宋体" w:cs="宋体"/>
          <w:kern w:val="0"/>
          <w:sz w:val="24"/>
          <w:highlight w:val="none"/>
        </w:rPr>
        <w:t>年</w:t>
      </w:r>
      <w:r>
        <w:rPr>
          <w:rFonts w:hint="eastAsia" w:ascii="宋体" w:hAnsi="宋体" w:cs="宋体"/>
          <w:kern w:val="0"/>
          <w:sz w:val="24"/>
          <w:highlight w:val="none"/>
          <w:lang w:val="en-US" w:eastAsia="zh-CN"/>
        </w:rPr>
        <w:t>6</w:t>
      </w:r>
      <w:r>
        <w:rPr>
          <w:rFonts w:ascii="宋体" w:hAnsi="宋体" w:cs="宋体"/>
          <w:kern w:val="0"/>
          <w:sz w:val="24"/>
          <w:highlight w:val="none"/>
        </w:rPr>
        <w:t>月开展“中国儿童生长激素长期疗效及安全性评估项目”，</w:t>
      </w:r>
      <w:r>
        <w:rPr>
          <w:rFonts w:ascii="宋体" w:hAnsi="宋体" w:cs="宋体"/>
          <w:kern w:val="0"/>
          <w:sz w:val="24"/>
        </w:rPr>
        <w:t>项目除了收集患者在生长激素治疗期间的安全性和疗效数据外，在患者停药后，将继续随访患者的安全性等数据至患者达到终身高（FAH），对生长激素的安全性和疗效建立长期监测机制。</w:t>
      </w:r>
    </w:p>
    <w:p w14:paraId="4C5205B7">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4、国内外研究现状</w:t>
      </w:r>
    </w:p>
    <w:bookmarkEnd w:id="2"/>
    <w:p w14:paraId="24609D7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重组人生长激素（</w:t>
      </w:r>
      <w:r>
        <w:rPr>
          <w:rFonts w:ascii="宋体" w:hAnsi="宋体" w:cs="宋体"/>
          <w:kern w:val="0"/>
          <w:sz w:val="24"/>
        </w:rPr>
        <w:t>recombinant human Growth Hormone，rhGH</w:t>
      </w:r>
      <w:r>
        <w:rPr>
          <w:rFonts w:hint="eastAsia" w:ascii="宋体" w:hAnsi="宋体" w:cs="宋体"/>
          <w:kern w:val="0"/>
          <w:sz w:val="24"/>
        </w:rPr>
        <w:t>）是治疗矮小症的常用药物。截至目前，美国食品药品监督管理局（</w:t>
      </w:r>
      <w:r>
        <w:rPr>
          <w:rFonts w:ascii="宋体" w:hAnsi="宋体" w:cs="宋体"/>
          <w:kern w:val="0"/>
          <w:sz w:val="24"/>
        </w:rPr>
        <w:t>FDA）批准rhGH</w:t>
      </w:r>
      <w:r>
        <w:rPr>
          <w:rFonts w:hint="eastAsia" w:ascii="宋体" w:hAnsi="宋体" w:cs="宋体"/>
          <w:kern w:val="0"/>
          <w:sz w:val="24"/>
        </w:rPr>
        <w:t>用于儿科治疗身材矮小的适应证有：</w:t>
      </w:r>
      <w:r>
        <w:rPr>
          <w:rFonts w:ascii="宋体" w:hAnsi="宋体" w:cs="宋体"/>
          <w:kern w:val="0"/>
          <w:sz w:val="24"/>
        </w:rPr>
        <w:t>GHD、慢性肾功能不全、TS、Prader-Willi综合征、SGA、ISS、SHOX基因缺陷及Noonan综合征。国内儿科内分泌学组针对rhGH</w:t>
      </w:r>
      <w:r>
        <w:rPr>
          <w:rFonts w:hint="eastAsia" w:ascii="宋体" w:hAnsi="宋体" w:cs="宋体"/>
          <w:kern w:val="0"/>
          <w:sz w:val="24"/>
        </w:rPr>
        <w:t>治疗</w:t>
      </w:r>
      <w:r>
        <w:rPr>
          <w:rFonts w:ascii="宋体" w:hAnsi="宋体" w:cs="宋体"/>
          <w:kern w:val="0"/>
          <w:sz w:val="24"/>
        </w:rPr>
        <w:t>GHD、ISS、SGA、TS、Prader-Willi综合征及Noonan综合征也有明确的规范化应用建议。</w:t>
      </w:r>
    </w:p>
    <w:p w14:paraId="0353F338">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聚乙二醇重组人生长激素</w:t>
      </w:r>
      <w:r>
        <w:rPr>
          <w:rFonts w:ascii="宋体" w:hAnsi="宋体" w:cs="宋体"/>
          <w:kern w:val="0"/>
          <w:sz w:val="24"/>
        </w:rPr>
        <w:t>(polyethylene glycol recombinant human Growth Hormone,PEG-rhGH)是在rhGH</w:t>
      </w:r>
      <w:r>
        <w:rPr>
          <w:rFonts w:hint="eastAsia" w:ascii="宋体" w:hAnsi="宋体" w:cs="宋体"/>
          <w:kern w:val="0"/>
          <w:sz w:val="24"/>
        </w:rPr>
        <w:t>分子的</w:t>
      </w:r>
      <w:r>
        <w:rPr>
          <w:rFonts w:ascii="宋体" w:hAnsi="宋体" w:cs="宋体"/>
          <w:kern w:val="0"/>
          <w:sz w:val="24"/>
        </w:rPr>
        <w:t>N-末端偶联了一个聚乙二醇（poly ethylene glycol，PEG）修饰剂分子所制成的长效制剂，它是对每日注射的rhGH</w:t>
      </w:r>
      <w:r>
        <w:rPr>
          <w:rFonts w:hint="eastAsia" w:ascii="宋体" w:hAnsi="宋体" w:cs="宋体"/>
          <w:kern w:val="0"/>
          <w:sz w:val="24"/>
        </w:rPr>
        <w:t>注射剂的改进，减少注射频次可能会增加患者的接受度，耐受性和治疗的灵活性，改善治疗效果，但是长效制剂在临床应用并不广泛。而且，由于</w:t>
      </w:r>
      <w:r>
        <w:rPr>
          <w:rFonts w:ascii="宋体" w:hAnsi="宋体" w:cs="宋体"/>
          <w:kern w:val="0"/>
          <w:sz w:val="24"/>
        </w:rPr>
        <w:t>PEG-rhGH</w:t>
      </w:r>
      <w:r>
        <w:rPr>
          <w:rFonts w:hint="eastAsia" w:ascii="宋体" w:hAnsi="宋体" w:cs="宋体"/>
          <w:kern w:val="0"/>
          <w:sz w:val="24"/>
        </w:rPr>
        <w:t>的非生理特性，长期使用需要监测疗效和安全性，治疗经验还较少。</w:t>
      </w:r>
    </w:p>
    <w:p w14:paraId="6F10DDC5">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的</w:t>
      </w:r>
      <w:r>
        <w:rPr>
          <w:rFonts w:ascii="宋体" w:hAnsi="宋体" w:cs="宋体"/>
          <w:kern w:val="0"/>
          <w:sz w:val="24"/>
        </w:rPr>
        <w:t>I</w:t>
      </w:r>
      <w:r>
        <w:rPr>
          <w:rFonts w:hint="eastAsia" w:ascii="宋体" w:hAnsi="宋体" w:cs="宋体"/>
          <w:kern w:val="0"/>
          <w:sz w:val="24"/>
        </w:rPr>
        <w:t>期试验在华中科技大学同济医学院附属同济医院展开，研究共纳入</w:t>
      </w:r>
      <w:r>
        <w:rPr>
          <w:rFonts w:ascii="宋体" w:hAnsi="宋体" w:cs="宋体"/>
          <w:kern w:val="0"/>
          <w:sz w:val="24"/>
        </w:rPr>
        <w:t>12名3-16岁诊断为GHD的男孩，12名患者首先接受每日皮下注射rhGH</w:t>
      </w:r>
      <w:r>
        <w:rPr>
          <w:rFonts w:hint="eastAsia" w:ascii="宋体" w:hAnsi="宋体" w:cs="宋体"/>
          <w:kern w:val="0"/>
          <w:sz w:val="24"/>
        </w:rPr>
        <w:t>，剂量为</w:t>
      </w:r>
      <w:r>
        <w:rPr>
          <w:rFonts w:ascii="宋体" w:hAnsi="宋体" w:cs="宋体"/>
          <w:kern w:val="0"/>
          <w:sz w:val="24"/>
        </w:rPr>
        <w:t>0.0286 mg/kg，持续7天，随后是28天洗脱期和每周注射PEG-rhGH</w:t>
      </w:r>
      <w:r>
        <w:rPr>
          <w:rFonts w:hint="eastAsia" w:ascii="宋体" w:hAnsi="宋体" w:cs="宋体"/>
          <w:kern w:val="0"/>
          <w:sz w:val="24"/>
        </w:rPr>
        <w:t>，剂量为</w:t>
      </w:r>
      <w:r>
        <w:rPr>
          <w:rFonts w:ascii="宋体" w:hAnsi="宋体" w:cs="宋体"/>
          <w:kern w:val="0"/>
          <w:sz w:val="24"/>
        </w:rPr>
        <w:t>0.2 mg/kg。主要目的是评估rhGH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的药代动力学和药效学谱。研究结果发现，</w:t>
      </w:r>
      <w:r>
        <w:rPr>
          <w:rFonts w:ascii="宋体" w:hAnsi="宋体" w:cs="宋体"/>
          <w:kern w:val="0"/>
          <w:sz w:val="24"/>
        </w:rPr>
        <w:t>PEG-rhGH</w:t>
      </w:r>
      <w:r>
        <w:rPr>
          <w:rFonts w:hint="eastAsia" w:ascii="宋体" w:hAnsi="宋体" w:cs="宋体"/>
          <w:kern w:val="0"/>
          <w:sz w:val="24"/>
        </w:rPr>
        <w:t>的血浆清除率比每日注射</w:t>
      </w:r>
      <w:r>
        <w:rPr>
          <w:rFonts w:ascii="宋体" w:hAnsi="宋体" w:cs="宋体"/>
          <w:kern w:val="0"/>
          <w:sz w:val="24"/>
        </w:rPr>
        <w:t>rhGH</w:t>
      </w:r>
      <w:r>
        <w:rPr>
          <w:rFonts w:hint="eastAsia" w:ascii="宋体" w:hAnsi="宋体" w:cs="宋体"/>
          <w:kern w:val="0"/>
          <w:sz w:val="24"/>
        </w:rPr>
        <w:t>低，持续给药未观察到生长激素的积累。</w:t>
      </w:r>
      <w:r>
        <w:rPr>
          <w:rFonts w:ascii="宋体" w:hAnsi="宋体" w:cs="宋体"/>
          <w:kern w:val="0"/>
          <w:sz w:val="24"/>
        </w:rPr>
        <w:t>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对于血液</w:t>
      </w:r>
      <w:r>
        <w:rPr>
          <w:rFonts w:ascii="宋体" w:hAnsi="宋体" w:cs="宋体"/>
          <w:kern w:val="0"/>
          <w:sz w:val="24"/>
        </w:rPr>
        <w:t>IGF-1的影响无显著差异。重要的是，多种剂量的PEG-rhGH</w:t>
      </w:r>
      <w:r>
        <w:rPr>
          <w:rFonts w:hint="eastAsia" w:ascii="宋体" w:hAnsi="宋体" w:cs="宋体"/>
          <w:kern w:val="0"/>
          <w:sz w:val="24"/>
        </w:rPr>
        <w:t>给药都是安全的，耐受性良好，没有观察到注射部位的疼痛反应。</w:t>
      </w:r>
    </w:p>
    <w:p w14:paraId="76DB72FA">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用于儿童生长激素缺乏症治疗的</w:t>
      </w:r>
      <w:r>
        <w:rPr>
          <w:rFonts w:ascii="宋体" w:hAnsi="宋体" w:cs="宋体"/>
          <w:kern w:val="0"/>
          <w:sz w:val="24"/>
        </w:rPr>
        <w:t>II期、III期多中心临床试验由华中科技大学同济医学院附属同济医院为组长的多单位协作组共同完成。II期临床试验纳入108例GHD受试者，随机分为三组：试验药PEG-rhGH</w:t>
      </w:r>
      <w:r>
        <w:rPr>
          <w:rFonts w:hint="eastAsia" w:ascii="宋体" w:hAnsi="宋体" w:cs="宋体"/>
          <w:kern w:val="0"/>
          <w:sz w:val="24"/>
        </w:rPr>
        <w:t>低剂量组</w:t>
      </w:r>
      <w:r>
        <w:rPr>
          <w:rFonts w:ascii="宋体" w:hAnsi="宋体" w:cs="宋体"/>
          <w:kern w:val="0"/>
          <w:sz w:val="24"/>
        </w:rPr>
        <w:t>0.10 mg/kg/周、试验药PEG-rhGH</w:t>
      </w:r>
      <w:r>
        <w:rPr>
          <w:rFonts w:hint="eastAsia" w:ascii="宋体" w:hAnsi="宋体" w:cs="宋体"/>
          <w:kern w:val="0"/>
          <w:sz w:val="24"/>
        </w:rPr>
        <w:t>高剂量组</w:t>
      </w:r>
      <w:r>
        <w:rPr>
          <w:rFonts w:ascii="宋体" w:hAnsi="宋体" w:cs="宋体"/>
          <w:kern w:val="0"/>
          <w:sz w:val="24"/>
        </w:rPr>
        <w:t>0.2 mg/kg/周和对照组短效rhGH 0.25 mg/kg/周。结果显示，</w:t>
      </w:r>
      <w:r>
        <w:rPr>
          <w:rFonts w:hint="eastAsia" w:ascii="宋体" w:hAnsi="宋体" w:cs="宋体"/>
          <w:kern w:val="0"/>
          <w:sz w:val="24"/>
        </w:rPr>
        <w:t>试验药低剂量组、高剂量组和对照组主要疗效指标身高年生长速率在基线生长速率的基础上分别增加了</w:t>
      </w:r>
      <w:r>
        <w:rPr>
          <w:rFonts w:ascii="宋体" w:hAnsi="宋体" w:cs="宋体"/>
          <w:kern w:val="0"/>
          <w:sz w:val="24"/>
        </w:rPr>
        <w:t>9.05±3.57 cm/年、9.78±3.08 cm/年和11.36±3.96 cm/年；三组两两比较可见，</w:t>
      </w:r>
      <w:r>
        <w:rPr>
          <w:rFonts w:hint="eastAsia" w:ascii="宋体" w:hAnsi="宋体" w:cs="宋体"/>
          <w:kern w:val="0"/>
          <w:sz w:val="24"/>
        </w:rPr>
        <w:t>试验药低剂量组的疗效与对照组之间有统计学差异（</w:t>
      </w:r>
      <w:r>
        <w:rPr>
          <w:rFonts w:ascii="宋体" w:hAnsi="宋体" w:cs="宋体"/>
          <w:kern w:val="0"/>
          <w:sz w:val="24"/>
        </w:rPr>
        <w:t>p &lt;0.05），对照组疗效</w:t>
      </w:r>
      <w:r>
        <w:rPr>
          <w:rFonts w:hint="eastAsia" w:ascii="宋体" w:hAnsi="宋体" w:cs="宋体"/>
          <w:kern w:val="0"/>
          <w:sz w:val="24"/>
        </w:rPr>
        <w:t>优于低剂量组；而试验药高剂量组和对照组之间疗效无统计学差异（</w:t>
      </w:r>
      <w:r>
        <w:rPr>
          <w:rFonts w:ascii="宋体" w:hAnsi="宋体" w:cs="宋体"/>
          <w:kern w:val="0"/>
          <w:sz w:val="24"/>
        </w:rPr>
        <w:t>p &gt;0.05）。三组在安全性评价方面无统计学差异，试验组出现的不良反应与对照组相似，没有新的不良反应出现。III期临床试验纳入343例GHD受试者，随机分为两组：试验组PEG-rhGH 0.2mg/kg/周和对照组rhGH 0.25mg/kg/w。结果显示：治疗25周后试验组和对照组主要疗效指标身高年生长速率在基线生长速率的基础上分别增加了11.50±3.58 cm/年和10.34±3.10 cm/年，有统计学差异（p &lt;0.05）。该结果与上述II期临床试验结果有所不同，考虑可能是由于上述II期临床试验样本量较少所致。安全性评价方面两组无统计学差异，并且试验组出现的不良反应与对照组相似，没有新的不良反应出现。</w:t>
      </w:r>
    </w:p>
    <w:p w14:paraId="38452C4A">
      <w:p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PEG-rhGH</w:t>
      </w:r>
      <w:r>
        <w:rPr>
          <w:rFonts w:hint="eastAsia" w:ascii="宋体" w:hAnsi="宋体" w:cs="宋体"/>
          <w:kern w:val="0"/>
          <w:sz w:val="24"/>
        </w:rPr>
        <w:t>的一项Ⅳ期临床研究进行了双周注射</w:t>
      </w:r>
      <w:r>
        <w:rPr>
          <w:rFonts w:ascii="宋体" w:hAnsi="宋体" w:cs="宋体"/>
          <w:kern w:val="0"/>
          <w:sz w:val="24"/>
        </w:rPr>
        <w:t>PEG-rhGH(剂量0.2 mg/kg/2周)对比每周注射PEG-rhGH(剂量0.2 mg/kg/周)或每日注射rhGH (0.25 mg/kg/周)的</w:t>
      </w:r>
      <w:r>
        <w:rPr>
          <w:rFonts w:hint="eastAsia" w:ascii="宋体" w:hAnsi="宋体" w:cs="宋体"/>
          <w:kern w:val="0"/>
          <w:sz w:val="24"/>
        </w:rPr>
        <w:t>非劣效性研究。这是一项多中心研究，设定非劣效阈值≥</w:t>
      </w:r>
      <w:r>
        <w:rPr>
          <w:rFonts w:ascii="宋体" w:hAnsi="宋体" w:cs="宋体"/>
          <w:kern w:val="0"/>
          <w:sz w:val="24"/>
        </w:rPr>
        <w:t xml:space="preserve">20%，试验共招募了585名Tanner I期GHD儿童。研究结果显示，虽然双周注射PEG-rhGH(剂量0.2 mg/kg/2周)也能显著促进生长速率(Growth Velocity, GV) </w:t>
      </w:r>
      <w:r>
        <w:rPr>
          <w:rFonts w:hint="eastAsia" w:ascii="宋体" w:hAnsi="宋体" w:cs="宋体"/>
          <w:kern w:val="0"/>
          <w:sz w:val="24"/>
        </w:rPr>
        <w:t>，但是其并未达到非劣效阈值。</w:t>
      </w:r>
    </w:p>
    <w:p w14:paraId="1A158934">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一项多中心、真实世界的剂量研究在中国</w:t>
      </w:r>
      <w:r>
        <w:rPr>
          <w:rFonts w:ascii="宋体" w:hAnsi="宋体" w:cs="宋体"/>
          <w:kern w:val="0"/>
          <w:sz w:val="24"/>
        </w:rPr>
        <w:t>19家医院进行，共纳入了510例患有矮小症的儿童，按剂量分组为A组(0.10-0.14 mg/kg/周)、B组(0.15-0.16 mg/kg/周)、C组(0.17-0.19 mg/kg/周)、D组(0.20 mg/kg/周)，结果发现PEG-rhGH</w:t>
      </w:r>
      <w:r>
        <w:rPr>
          <w:rFonts w:hint="eastAsia" w:ascii="宋体" w:hAnsi="宋体" w:cs="宋体"/>
          <w:kern w:val="0"/>
          <w:sz w:val="24"/>
        </w:rPr>
        <w:t>能有效提高青春期前矮小症儿童的身高。当基线</w:t>
      </w:r>
      <w:r>
        <w:rPr>
          <w:rFonts w:ascii="宋体" w:hAnsi="宋体" w:cs="宋体"/>
          <w:kern w:val="0"/>
          <w:sz w:val="24"/>
        </w:rPr>
        <w:t>IGF-1&lt;-2 SDS时,0.10mg/kg/周可作为起始剂量。在其他IGF-1状态下，0.15-0.20 mg/kg/周的剂量更优。</w:t>
      </w:r>
    </w:p>
    <w:p w14:paraId="7FC09F2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长期的治疗经验和积累的临床试验数据为</w:t>
      </w:r>
      <w:r>
        <w:rPr>
          <w:rFonts w:ascii="宋体" w:hAnsi="宋体" w:cs="宋体"/>
          <w:kern w:val="0"/>
          <w:sz w:val="24"/>
        </w:rPr>
        <w:t>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治疗</w:t>
      </w:r>
      <w:r>
        <w:rPr>
          <w:rFonts w:ascii="宋体" w:hAnsi="宋体" w:cs="宋体"/>
          <w:kern w:val="0"/>
          <w:sz w:val="24"/>
        </w:rPr>
        <w:t>GHD患儿的安全性提供数据支持，但仍缺乏广泛的人群和更长期随访来监测发生率较低的不良反应的发生率。除此之外，既往临床试验的随访时间都只有几个月至1-2年，缺乏探索rhGH</w:t>
      </w:r>
      <w:r>
        <w:rPr>
          <w:rFonts w:hint="eastAsia" w:ascii="宋体" w:hAnsi="宋体" w:cs="宋体"/>
          <w:kern w:val="0"/>
          <w:sz w:val="24"/>
        </w:rPr>
        <w:t>和</w:t>
      </w:r>
      <w:r>
        <w:rPr>
          <w:rFonts w:ascii="宋体" w:hAnsi="宋体" w:cs="宋体"/>
          <w:kern w:val="0"/>
          <w:sz w:val="24"/>
        </w:rPr>
        <w:t>PEG-rhGH</w:t>
      </w:r>
      <w:r>
        <w:rPr>
          <w:rFonts w:hint="eastAsia" w:ascii="宋体" w:hAnsi="宋体" w:cs="宋体"/>
          <w:kern w:val="0"/>
          <w:sz w:val="24"/>
        </w:rPr>
        <w:t>治疗</w:t>
      </w:r>
      <w:r>
        <w:rPr>
          <w:rFonts w:ascii="宋体" w:hAnsi="宋体" w:cs="宋体"/>
          <w:kern w:val="0"/>
          <w:sz w:val="24"/>
        </w:rPr>
        <w:t>GHD到近似成年身高（Near Adult Height，NAH）或成年终身高（Final Adult Height，FAH）的有效性数据。同时，部分病因造成矮小症的发生率较低，缺乏这些疾病患者的有效和安全性的数据。鉴于此，华中科技大学同济医学院附属同济医院发起了该项目，通过建立中国儿童生长激素长期疗效及安全性评估项目收集PEG-rhGH</w:t>
      </w:r>
      <w:r>
        <w:rPr>
          <w:rFonts w:hint="eastAsia" w:ascii="宋体" w:hAnsi="宋体" w:cs="宋体"/>
          <w:kern w:val="0"/>
          <w:sz w:val="24"/>
        </w:rPr>
        <w:t>和</w:t>
      </w:r>
      <w:r>
        <w:rPr>
          <w:rFonts w:ascii="宋体" w:hAnsi="宋体" w:cs="宋体"/>
          <w:kern w:val="0"/>
          <w:sz w:val="24"/>
        </w:rPr>
        <w:t>rhGH</w:t>
      </w:r>
      <w:r>
        <w:rPr>
          <w:rFonts w:hint="eastAsia" w:ascii="宋体" w:hAnsi="宋体" w:cs="宋体"/>
          <w:kern w:val="0"/>
          <w:sz w:val="24"/>
        </w:rPr>
        <w:t>治疗不同病因儿童矮小症的中国人群真实世界数据，期望通过对现有患者数据的收集和分析，系统性评估</w:t>
      </w:r>
      <w:r>
        <w:rPr>
          <w:rFonts w:ascii="宋体" w:hAnsi="宋体" w:cs="宋体"/>
          <w:kern w:val="0"/>
          <w:sz w:val="24"/>
        </w:rPr>
        <w:t>PEG-rhGH</w:t>
      </w:r>
      <w:r>
        <w:rPr>
          <w:rFonts w:hint="eastAsia" w:ascii="宋体" w:hAnsi="宋体" w:cs="宋体"/>
          <w:kern w:val="0"/>
          <w:sz w:val="24"/>
        </w:rPr>
        <w:t>和</w:t>
      </w:r>
      <w:r>
        <w:rPr>
          <w:rFonts w:ascii="宋体" w:hAnsi="宋体" w:cs="宋体"/>
          <w:kern w:val="0"/>
          <w:sz w:val="24"/>
        </w:rPr>
        <w:t>rhGH</w:t>
      </w:r>
      <w:r>
        <w:rPr>
          <w:rFonts w:hint="eastAsia" w:ascii="宋体" w:hAnsi="宋体" w:cs="宋体"/>
          <w:kern w:val="0"/>
          <w:sz w:val="24"/>
        </w:rPr>
        <w:t>更长期的安全和有效性，并为国内学术界制定国内的相关疾病诊疗指南或共识提供参考证据。</w:t>
      </w:r>
    </w:p>
    <w:p w14:paraId="47845B7A">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二、研究的主要内容（包括包括试验设计、研究分组、干预措施、主要和次要研究指标）</w:t>
      </w:r>
    </w:p>
    <w:p w14:paraId="740E38F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本研究是一项回顾性及前瞻性、多中心、观察性的真实世界研究，旨在观察PEG-rhGH或rhGH治疗中国儿童矮小症长期安全性及有效性。此项研究拟开展回顾性队列、回顾前瞻性队列和前瞻性队列研究。</w:t>
      </w:r>
    </w:p>
    <w:p w14:paraId="2D51362C">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1.回顾性队列</w:t>
      </w:r>
    </w:p>
    <w:p w14:paraId="5ABE359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对于试验开始时，既往已接受PEG-rhGH或rhGH治疗1年及以上，现已结束治疗的患者，将回顾性收集患者首次就诊资料及每6个月进行一次的随访信息。</w:t>
      </w:r>
    </w:p>
    <w:p w14:paraId="0DBFC148">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2.回顾前瞻性队列</w:t>
      </w:r>
    </w:p>
    <w:p w14:paraId="66FF0E8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对于试验开始时，已经接受PEG-rhGH或rhGH治疗，在签署知情同意书后，先回顾性收集患者首次就诊资料及每6个月进行一次的随访信息，再前瞻性的收集每6个月进行一次的随访信息，直到患者达到NAH。</w:t>
      </w:r>
    </w:p>
    <w:p w14:paraId="7A66E495">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3.前瞻性队列：</w:t>
      </w:r>
    </w:p>
    <w:p w14:paraId="7343243E">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如试验开始时，现需要使用PEG-rhGH或rhGH治疗的患者，在签署知情同意书后，开始接受治疗并前瞻性的收集患者首次就诊资料及每6个月进行一次的随访信息，直到患者达到NAH。</w:t>
      </w:r>
    </w:p>
    <w:p w14:paraId="37BAE31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为了进一步评估PEG-rhGH或rhGH在不同病因造成儿童矮小症的安全性和疗效性，本研究将按照以下7种适应证做分析：</w:t>
      </w:r>
    </w:p>
    <w:p w14:paraId="07BE6385">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14:paraId="73366C9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14:paraId="6188ADCD">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14:paraId="11E0CCC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14:paraId="5822EB8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14:paraId="3F56525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14:paraId="1AC6577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14:paraId="1BBE0391">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本研究的主要研究目的为评估PEG-rhGH或rhGH用于治疗儿童矮小症的长期安全性。次要目的为评估PEG-rhGH或rhGH治疗不同病因儿童矮小症的有效性。另外，探索性目的为对比PEG-rhGH或rhGH治疗前后IGF-1水平和BMI SDS的变化。</w:t>
      </w:r>
    </w:p>
    <w:p w14:paraId="359F1E1F">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本研究的主要终点指标为评估PEG-rhGH或rhGH治疗儿童矮小症的长期安全性：包括所有不良事件（AE）发生率和严重不良事件（SAE）发生率。次要终点指标为对疗效指标的分析，这将在不同适应证之间进行:短期疗效指标为对比基线和PEG-rhGH或rhGH治疗后每6个月Ht SDS和对比PEG-rhGH或rhGH治疗后每6个月GV；长期疗效指标为NAH SDS与PEG-rhGH或rhGH开始治疗时Ht SDS的差值和NAH与遗传靶身高的差值。同时，探索终点指标为对比PEG-rhGH或rhGH治疗前后IGF-1水平和BMI SDS的变化。</w:t>
      </w:r>
    </w:p>
    <w:p w14:paraId="573B620E">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三、研究具体方法（包括入排标准、样本量计算、研究分组、干预及对照、研究具体过程、主要和次要研究指标及统计分析等）</w:t>
      </w:r>
    </w:p>
    <w:p w14:paraId="39CAF499">
      <w:pPr>
        <w:adjustRightInd w:val="0"/>
        <w:spacing w:line="300" w:lineRule="auto"/>
        <w:textAlignment w:val="baseline"/>
        <w:rPr>
          <w:rFonts w:ascii="宋体" w:hAnsi="宋体" w:cs="宋体"/>
          <w:kern w:val="0"/>
          <w:sz w:val="24"/>
        </w:rPr>
      </w:pPr>
      <w:r>
        <w:rPr>
          <w:rFonts w:hint="eastAsia" w:ascii="宋体" w:hAnsi="宋体" w:cs="宋体"/>
          <w:kern w:val="0"/>
          <w:sz w:val="24"/>
        </w:rPr>
        <w:t>（1）入选标准：</w:t>
      </w:r>
    </w:p>
    <w:p w14:paraId="7CA1EDB4">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回顾性队列</w:t>
      </w:r>
    </w:p>
    <w:p w14:paraId="0E891B2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14:paraId="69D31CB5">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1.至少2岁或以上的矮小儿童；</w:t>
      </w:r>
    </w:p>
    <w:p w14:paraId="7E5BA83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2.身高低于同年龄、同性别正常健康儿童身高的第3百分位数（-1.88 SD ）；</w:t>
      </w:r>
    </w:p>
    <w:p w14:paraId="7235DCE6">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3.既往已接受PEG-rhGH或rhGH治疗1年及以上，现已结束治疗的患者，并属于以下适应证其中之一：</w:t>
      </w:r>
    </w:p>
    <w:p w14:paraId="3F0BBCCF">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14:paraId="1B567EA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14:paraId="40AACEBC">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14:paraId="1DBB09E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14:paraId="304DC05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14:paraId="5562D6B7">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14:paraId="5F242BE9">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14:paraId="5293E724">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回顾前瞻性队列</w:t>
      </w:r>
    </w:p>
    <w:p w14:paraId="3A5C0B9B">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14:paraId="2F09624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1.自愿签署知情同意书；</w:t>
      </w:r>
    </w:p>
    <w:p w14:paraId="5828E17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2.至少2岁或以上的矮小儿童；</w:t>
      </w:r>
    </w:p>
    <w:p w14:paraId="27BD94B6">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3.身高低于同年龄、同性别正常健康儿童身高的第3百分位数（-1.88 SD）；</w:t>
      </w:r>
    </w:p>
    <w:p w14:paraId="320C5DE4">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4.正在使用PEG-rhGH或rhGH产品进行治疗的患者，并属于以下适应证其中之一：</w:t>
      </w:r>
    </w:p>
    <w:p w14:paraId="45EC5904">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14:paraId="4FA7D246">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14:paraId="18B82A31">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14:paraId="05705E49">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14:paraId="538C44AE">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14:paraId="6BF2F8E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14:paraId="3C5D5306">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第七队列：SHOX基因缺失及其它病因矮小症</w:t>
      </w:r>
    </w:p>
    <w:p w14:paraId="262F7519">
      <w:pPr>
        <w:numPr>
          <w:ilvl w:val="0"/>
          <w:numId w:val="2"/>
        </w:numPr>
        <w:adjustRightInd w:val="0"/>
        <w:spacing w:line="300" w:lineRule="auto"/>
        <w:textAlignment w:val="baseline"/>
        <w:rPr>
          <w:rFonts w:ascii="宋体" w:hAnsi="宋体" w:cs="宋体"/>
          <w:kern w:val="0"/>
          <w:sz w:val="24"/>
        </w:rPr>
      </w:pPr>
      <w:r>
        <w:rPr>
          <w:rFonts w:hint="eastAsia" w:ascii="宋体" w:hAnsi="宋体" w:cs="宋体"/>
          <w:kern w:val="0"/>
          <w:sz w:val="24"/>
        </w:rPr>
        <w:t>前瞻性队列</w:t>
      </w:r>
    </w:p>
    <w:p w14:paraId="1064FEAD">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患者入组须满足以下所有条件：</w:t>
      </w:r>
    </w:p>
    <w:p w14:paraId="5AA213E9">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1.自愿签署知情同意书；</w:t>
      </w:r>
    </w:p>
    <w:p w14:paraId="1970BBE6">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2.至少2岁或以上的矮小儿童；</w:t>
      </w:r>
    </w:p>
    <w:p w14:paraId="69AF7C99">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3.身高低于同年龄、同性别正常健康儿童身高的第3百分位数（-1.88 SD）；</w:t>
      </w:r>
    </w:p>
    <w:p w14:paraId="771B414A">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4.现需要使用PEG-rhGH或rhGH产品进行治疗的患者，并属于以下适应证其中之一：</w:t>
      </w:r>
    </w:p>
    <w:p w14:paraId="35F4F32C">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第一队列：GHD</w:t>
      </w:r>
    </w:p>
    <w:p w14:paraId="674197E5">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第二队列：ISS</w:t>
      </w:r>
    </w:p>
    <w:p w14:paraId="0CBE663E">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第三队列：SGA</w:t>
      </w:r>
    </w:p>
    <w:p w14:paraId="0F3DC5AF">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第四队列：TS</w:t>
      </w:r>
    </w:p>
    <w:p w14:paraId="6695EF6D">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第五队列：PWS</w:t>
      </w:r>
    </w:p>
    <w:p w14:paraId="069CFCD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第六队列：NS</w:t>
      </w:r>
    </w:p>
    <w:p w14:paraId="51EC8C90">
      <w:pPr>
        <w:adjustRightInd w:val="0"/>
        <w:spacing w:line="300" w:lineRule="auto"/>
        <w:ind w:firstLine="480" w:firstLineChars="200"/>
        <w:textAlignment w:val="baseline"/>
        <w:rPr>
          <w:rFonts w:hint="eastAsia" w:ascii="宋体" w:hAnsi="宋体" w:cs="宋体"/>
          <w:kern w:val="0"/>
          <w:sz w:val="24"/>
        </w:rPr>
      </w:pPr>
      <w:r>
        <w:rPr>
          <w:rFonts w:hint="eastAsia" w:ascii="宋体" w:hAnsi="宋体" w:cs="宋体"/>
          <w:kern w:val="0"/>
          <w:sz w:val="24"/>
        </w:rPr>
        <w:t>第七队列：SHOX基因缺失及其它病因矮小症</w:t>
      </w:r>
    </w:p>
    <w:p w14:paraId="39F925DE">
      <w:pPr>
        <w:adjustRightInd w:val="0"/>
        <w:spacing w:line="300" w:lineRule="auto"/>
        <w:ind w:firstLine="480" w:firstLineChars="200"/>
        <w:textAlignment w:val="baseline"/>
        <w:rPr>
          <w:rFonts w:hint="eastAsia" w:ascii="宋体" w:hAnsi="宋体" w:cs="宋体"/>
          <w:kern w:val="0"/>
          <w:sz w:val="24"/>
          <w:lang w:val="en-US"/>
        </w:rPr>
      </w:pPr>
    </w:p>
    <w:p w14:paraId="73C62676">
      <w:pPr>
        <w:adjustRightInd w:val="0"/>
        <w:spacing w:line="300" w:lineRule="auto"/>
        <w:ind w:firstLine="480" w:firstLineChars="200"/>
        <w:textAlignment w:val="baseline"/>
        <w:rPr>
          <w:rFonts w:hint="eastAsia" w:ascii="宋体" w:hAnsi="宋体" w:cs="宋体"/>
          <w:kern w:val="0"/>
          <w:sz w:val="24"/>
          <w:lang w:val="en-US"/>
        </w:rPr>
      </w:pPr>
      <w:r>
        <w:rPr>
          <w:rFonts w:hint="eastAsia" w:ascii="宋体" w:hAnsi="宋体" w:cs="宋体"/>
          <w:kern w:val="0"/>
          <w:sz w:val="24"/>
          <w:lang w:val="en-US"/>
        </w:rPr>
        <w:t>特别备注：依据2015版中国Prader-Willi综合征诊治专家共识(2015) [13]中对PWS 开始应用基因重组人生长激素(rhCH)治疗的年龄的描述:“40% ~100% PWS 患儿因 GH 缺乏导致身材矮小。2000 年美国 FDA 批准 rhCH 用于治疗 PWS 儿童矮小,而欧洲批准 hGH 治疗 PWS 主要是用于改善瘦体重,而不论是否合并矮小。为此,按照美国标准 PWS 患儿需要达到矮小标准方可治疗,故初治年龄会偏大,而按照欧洲标准则需要早期治疗。但对于确切的起治年龄,至今为止国际上尚未有统一的指南，一般认为初治时间为婴幼儿早期、肥胖发生前(通常为2岁前)。建议在不存在明显 GH 使用禁忌证的情况下,宜早于2岁开始 rhGH 治疗,以助肌肉组织发育、改善肌力,改善摄食能力并尽早纠正代谢紊乱情况”。</w:t>
      </w:r>
    </w:p>
    <w:p w14:paraId="635AA43E">
      <w:pPr>
        <w:adjustRightInd w:val="0"/>
        <w:spacing w:line="300" w:lineRule="auto"/>
        <w:ind w:firstLine="480" w:firstLineChars="200"/>
        <w:textAlignment w:val="baseline"/>
        <w:rPr>
          <w:rFonts w:hint="eastAsia" w:ascii="宋体" w:hAnsi="宋体" w:cs="宋体"/>
          <w:kern w:val="0"/>
          <w:sz w:val="24"/>
          <w:lang w:val="en-US"/>
        </w:rPr>
      </w:pPr>
      <w:r>
        <w:rPr>
          <w:rFonts w:hint="eastAsia" w:ascii="宋体" w:hAnsi="宋体" w:cs="宋体"/>
          <w:kern w:val="0"/>
          <w:sz w:val="24"/>
          <w:lang w:val="en-US"/>
        </w:rPr>
        <w:t>结合国内临床医生治疗PWS的经验，即对PWS 患儿启动GH治疗不一定依赖于单纯身高因素，且对起始治疗年龄可接受为2岁以前，故本研究中PWS 队列的纳入标准，对起始治疗的身高和年龄不作约束。</w:t>
      </w:r>
    </w:p>
    <w:p w14:paraId="10B558E2">
      <w:pPr>
        <w:adjustRightInd w:val="0"/>
        <w:spacing w:line="300" w:lineRule="auto"/>
        <w:ind w:firstLine="480" w:firstLineChars="200"/>
        <w:textAlignment w:val="baseline"/>
        <w:rPr>
          <w:rFonts w:hint="eastAsia" w:ascii="宋体" w:hAnsi="宋体" w:cs="宋体"/>
          <w:kern w:val="0"/>
          <w:sz w:val="24"/>
        </w:rPr>
      </w:pPr>
    </w:p>
    <w:p w14:paraId="1F010488">
      <w:pPr>
        <w:numPr>
          <w:ilvl w:val="0"/>
          <w:numId w:val="3"/>
        </w:numPr>
        <w:adjustRightInd w:val="0"/>
        <w:spacing w:line="300" w:lineRule="auto"/>
        <w:textAlignment w:val="baseline"/>
        <w:rPr>
          <w:rFonts w:ascii="宋体" w:hAnsi="宋体" w:cs="宋体"/>
          <w:kern w:val="0"/>
          <w:sz w:val="24"/>
        </w:rPr>
      </w:pPr>
      <w:r>
        <w:rPr>
          <w:rFonts w:hint="eastAsia" w:ascii="宋体" w:hAnsi="宋体" w:cs="宋体"/>
          <w:kern w:val="0"/>
          <w:sz w:val="24"/>
        </w:rPr>
        <w:t>排除标准：</w:t>
      </w:r>
    </w:p>
    <w:p w14:paraId="3003B282">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符合下列条件中任何一条标准，则须排除出本研究计划：</w:t>
      </w:r>
    </w:p>
    <w:p w14:paraId="5F46D4F8">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1.骨骺已完全闭合的患者；</w:t>
      </w:r>
    </w:p>
    <w:p w14:paraId="7D3B84EA">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2.回顾性队列PEG-rhGH或rhGH治疗不足1年的患者；回顾前瞻性队列已使用和预期使用PEG-rhGH或rhGH治疗时间的总和不足1年的患者；前瞻性队列PEG-rhGH或rhGH治疗研究预期不足1年的患者；</w:t>
      </w:r>
    </w:p>
    <w:p w14:paraId="78D30857">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3.有任何进展迹象的潜在性肿瘤患者及已确诊的肿瘤患者；</w:t>
      </w:r>
      <w:bookmarkStart w:id="3" w:name="_GoBack"/>
      <w:bookmarkEnd w:id="3"/>
    </w:p>
    <w:p w14:paraId="5501CAAC">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4.对生长激素或其保护剂过敏者；</w:t>
      </w:r>
    </w:p>
    <w:p w14:paraId="12BA7E35">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5.筛选前6个月内，患者曾接受过任何一种除研究用药外的其他生长激素治疗；</w:t>
      </w:r>
    </w:p>
    <w:p w14:paraId="2E524C6E">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w:t>
      </w:r>
      <w:r>
        <w:rPr>
          <w:rFonts w:ascii="宋体" w:hAnsi="宋体" w:cs="宋体"/>
          <w:kern w:val="0"/>
          <w:sz w:val="24"/>
        </w:rPr>
        <w:t>任何研究者认为不适合入选研究的其他情况。</w:t>
      </w:r>
    </w:p>
    <w:p w14:paraId="114F75AE">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（3）样本量计算：</w:t>
      </w:r>
    </w:p>
    <w:p w14:paraId="38F550D4">
      <w:pPr>
        <w:numPr>
          <w:ilvl w:val="-1"/>
          <w:numId w:val="0"/>
        </w:numPr>
        <w:adjustRightInd/>
        <w:spacing w:before="240" w:after="240" w:line="360" w:lineRule="auto"/>
        <w:ind w:firstLine="480" w:firstLineChars="200"/>
        <w:textAlignment w:val="auto"/>
        <w:rPr>
          <w:rFonts w:ascii="宋体" w:hAnsi="宋体" w:cs="宋体"/>
          <w:kern w:val="0"/>
          <w:sz w:val="24"/>
        </w:rPr>
      </w:pPr>
      <w:r>
        <w:rPr>
          <w:rFonts w:hint="eastAsia" w:ascii="宋体" w:hAnsi="宋体" w:cs="宋体"/>
          <w:kern w:val="0"/>
          <w:sz w:val="24"/>
        </w:rPr>
        <w:t>本研究的主要目的是评估PEG-rhGH或rhGH的长期安全性。样本量估计为检测一种罕见的不良事件。</w:t>
      </w:r>
      <w:r>
        <w:rPr>
          <w:rFonts w:hint="eastAsia" w:ascii="宋体" w:hAnsi="宋体" w:eastAsia="宋体" w:cs="宋体"/>
          <w:kern w:val="0"/>
          <w:sz w:val="24"/>
          <w:szCs w:val="24"/>
          <w:lang w:val="en-US" w:eastAsia="zh-CN"/>
        </w:rPr>
        <w:t>假定</w:t>
      </w:r>
      <w:r>
        <w:rPr>
          <w:rFonts w:hint="eastAsia" w:ascii="宋体" w:hAnsi="宋体" w:eastAsia="宋体" w:cs="宋体"/>
          <w:kern w:val="0"/>
          <w:sz w:val="24"/>
          <w:szCs w:val="24"/>
          <w:lang w:val="en-US"/>
        </w:rPr>
        <w:t>在使用PEG-rhGH或rhGH治疗的人群中，</w:t>
      </w:r>
      <w:r>
        <w:rPr>
          <w:rFonts w:hint="eastAsia" w:ascii="宋体" w:hAnsi="宋体" w:eastAsia="宋体" w:cs="宋体"/>
          <w:kern w:val="0"/>
          <w:sz w:val="24"/>
          <w:szCs w:val="24"/>
          <w:lang w:val="en-US" w:eastAsia="zh-CN"/>
        </w:rPr>
        <w:t>某罕见</w:t>
      </w:r>
      <w:r>
        <w:rPr>
          <w:rFonts w:hint="eastAsia" w:ascii="宋体" w:hAnsi="宋体" w:eastAsia="宋体" w:cs="宋体"/>
          <w:kern w:val="0"/>
          <w:sz w:val="24"/>
          <w:szCs w:val="24"/>
          <w:lang w:val="en-US"/>
        </w:rPr>
        <w:t>不良事件的发病率约为0.08%。使用观察性研究的样本计算方法，在设定显著性水平为0.05，设置允许误差为0.06%，置信区间为95%的情况下，同时考虑脱落率为</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val="en-US"/>
        </w:rPr>
        <w:t>%，研究需至少招募</w:t>
      </w:r>
      <w:r>
        <w:rPr>
          <w:rFonts w:hint="eastAsia" w:ascii="宋体" w:hAnsi="宋体" w:eastAsia="宋体" w:cs="宋体"/>
          <w:kern w:val="0"/>
          <w:sz w:val="24"/>
          <w:szCs w:val="24"/>
          <w:lang w:val="en-US" w:eastAsia="zh-CN"/>
        </w:rPr>
        <w:t>9810例，本研究拟纳入10000例研究参与者。</w:t>
      </w:r>
    </w:p>
    <w:p w14:paraId="384C65A2">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（4）研究治疗方法：</w:t>
      </w:r>
    </w:p>
    <w:p w14:paraId="752B2B2A">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这是一项观察性队列研究，回顾性队列将在研究中心启动后，回顾性收集使用PEG-rhGH或rhGH 1年及以上的患者首次就诊资料及每6个月进行一次的随访信息。回顾前瞻性队列先回顾性收集患者首次就诊资料及每6个月进行一次的随访信息，再前瞻性的收集每6个月进行一次的随访信息。前瞻性队列中研究者将按照当地正常的诊疗指南、临床实践、以及药品说明书给予PEG-rhGH及rhGH治疗，并收集患者首次就诊资料及每6个月进行一次的随访信息，安全和疗效评价将由当地的临床研究中心按照常规实施。</w:t>
      </w:r>
    </w:p>
    <w:p w14:paraId="2D3ACD3B">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研究者负责确定和记录满足本方案所述不良事件和严重不良事件标准和定义的事件。在研究期间进行安全性评价时，研究者或研究中心人员负责确定AE和SAE，详见方案本节内容。</w:t>
      </w:r>
    </w:p>
    <w:p w14:paraId="5F64BD1B">
      <w:pPr>
        <w:adjustRightInd w:val="0"/>
        <w:spacing w:line="300" w:lineRule="auto"/>
        <w:textAlignment w:val="baseline"/>
        <w:rPr>
          <w:rFonts w:ascii="宋体" w:hAnsi="宋体" w:cs="宋体"/>
          <w:kern w:val="0"/>
          <w:sz w:val="24"/>
        </w:rPr>
      </w:pPr>
      <w:r>
        <w:rPr>
          <w:rFonts w:hint="eastAsia" w:ascii="宋体" w:hAnsi="宋体" w:cs="宋体"/>
          <w:kern w:val="0"/>
          <w:sz w:val="24"/>
        </w:rPr>
        <w:t>运用统计描述的方法报告PEG-rhGH或rhGH使用期间的各种不良反应发生率。不良事件数据，根据开始编码时现行版本的MedDRA 进行编码后，在统计分析中进行处理。汇总不良事件、严重不良事件的发生率。若同一患者发生多个不良事件，计算发生率时，记为1例；患者多次发生同一不良事件时，在该不良事件发生率的计算中，记为1例。分系统、症状/体征计算发生率（例数的计数：至少发生过一次某一种不良反应的患者例数）。不良反应的严重程度：同一患者多次发生同一不良反应，以最严重的一次参与该不良反应的严重程度分析。</w:t>
      </w:r>
    </w:p>
    <w:p w14:paraId="692768B6">
      <w:pPr>
        <w:adjustRightInd w:val="0"/>
        <w:spacing w:line="300" w:lineRule="auto"/>
        <w:textAlignment w:val="baseline"/>
        <w:rPr>
          <w:rFonts w:ascii="宋体" w:hAnsi="宋体" w:cs="宋体"/>
          <w:kern w:val="0"/>
          <w:sz w:val="24"/>
        </w:rPr>
      </w:pPr>
      <w:r>
        <w:rPr>
          <w:rFonts w:hint="eastAsia" w:ascii="宋体" w:hAnsi="宋体" w:cs="宋体"/>
          <w:kern w:val="0"/>
          <w:sz w:val="24"/>
        </w:rPr>
        <w:t>（5）对于研究流程，本项研究中，计划分为3个阶段，分别为筛选和基线期、治疗随访期和停药随访期。其中，治疗随访期和停药随访期，将每6个月进行一次随访。</w:t>
      </w:r>
    </w:p>
    <w:p w14:paraId="7DA3454D">
      <w:pPr>
        <w:adjustRightInd w:val="0"/>
        <w:spacing w:line="300" w:lineRule="auto"/>
        <w:textAlignment w:val="baseline"/>
        <w:rPr>
          <w:rFonts w:ascii="宋体" w:hAnsi="宋体" w:cs="宋体"/>
          <w:kern w:val="0"/>
          <w:sz w:val="24"/>
        </w:rPr>
      </w:pPr>
      <w:r>
        <w:rPr>
          <w:rFonts w:hint="eastAsia" w:ascii="宋体" w:hAnsi="宋体" w:cs="宋体"/>
          <w:kern w:val="0"/>
          <w:sz w:val="24"/>
        </w:rPr>
        <w:t>（6）有效性评估</w:t>
      </w:r>
    </w:p>
    <w:p w14:paraId="2622D0C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对疗效指标的分析，将在不同适应证之间进行：</w:t>
      </w:r>
    </w:p>
    <w:p w14:paraId="217B401B">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1.短期疗效指标：</w:t>
      </w:r>
    </w:p>
    <w:p w14:paraId="297EE327">
      <w:pPr>
        <w:adjustRightInd w:val="0"/>
        <w:spacing w:line="300" w:lineRule="auto"/>
        <w:textAlignment w:val="baseline"/>
        <w:rPr>
          <w:rFonts w:ascii="宋体" w:hAnsi="宋体" w:cs="宋体"/>
          <w:kern w:val="0"/>
          <w:sz w:val="24"/>
        </w:rPr>
      </w:pPr>
      <w:r>
        <w:rPr>
          <w:rFonts w:hint="eastAsia" w:ascii="宋体" w:hAnsi="宋体" w:cs="宋体"/>
          <w:kern w:val="0"/>
          <w:sz w:val="24"/>
        </w:rPr>
        <w:t>  对比基线和PEG-rhGH或rhGH治疗后每6个月Ht SDS；</w:t>
      </w:r>
    </w:p>
    <w:p w14:paraId="355A97C3">
      <w:pPr>
        <w:adjustRightInd w:val="0"/>
        <w:spacing w:line="300" w:lineRule="auto"/>
        <w:textAlignment w:val="baseline"/>
        <w:rPr>
          <w:rFonts w:ascii="宋体" w:hAnsi="宋体" w:cs="宋体"/>
          <w:kern w:val="0"/>
          <w:sz w:val="24"/>
        </w:rPr>
      </w:pPr>
      <w:r>
        <w:rPr>
          <w:rFonts w:hint="eastAsia" w:ascii="宋体" w:hAnsi="宋体" w:cs="宋体"/>
          <w:kern w:val="0"/>
          <w:sz w:val="24"/>
        </w:rPr>
        <w:t>  对比PEG-rhGH或rhGH治疗后每6个月GV；</w:t>
      </w:r>
    </w:p>
    <w:p w14:paraId="6361B04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2.长期疗效指标：</w:t>
      </w:r>
    </w:p>
    <w:p w14:paraId="58AFC1D8">
      <w:pPr>
        <w:adjustRightInd w:val="0"/>
        <w:spacing w:line="300" w:lineRule="auto"/>
        <w:textAlignment w:val="baseline"/>
        <w:rPr>
          <w:rFonts w:ascii="宋体" w:hAnsi="宋体" w:cs="宋体"/>
          <w:kern w:val="0"/>
          <w:sz w:val="24"/>
        </w:rPr>
      </w:pPr>
      <w:r>
        <w:rPr>
          <w:rFonts w:hint="eastAsia" w:ascii="宋体" w:hAnsi="宋体" w:cs="宋体"/>
          <w:kern w:val="0"/>
          <w:sz w:val="24"/>
        </w:rPr>
        <w:t>  NAH SDS与PEG-rhGH或rhGH开始治疗时Ht SDS的差值；</w:t>
      </w:r>
    </w:p>
    <w:p w14:paraId="54138076">
      <w:pPr>
        <w:adjustRightInd w:val="0"/>
        <w:spacing w:line="300" w:lineRule="auto"/>
        <w:textAlignment w:val="baseline"/>
        <w:rPr>
          <w:rFonts w:ascii="宋体" w:hAnsi="宋体" w:cs="宋体"/>
          <w:kern w:val="0"/>
          <w:sz w:val="24"/>
        </w:rPr>
      </w:pPr>
      <w:r>
        <w:rPr>
          <w:rFonts w:hint="eastAsia" w:ascii="宋体" w:hAnsi="宋体" w:cs="宋体"/>
          <w:kern w:val="0"/>
          <w:sz w:val="24"/>
        </w:rPr>
        <w:t>  NAH与遗传靶身高的差值；</w:t>
      </w:r>
    </w:p>
    <w:p w14:paraId="4EB62DB0">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3.探索终点指标：</w:t>
      </w:r>
    </w:p>
    <w:p w14:paraId="0466A50D">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对比PEG-rhGH或rhGH治疗前后IGF-1水平和BMI SDS的变化。</w:t>
      </w:r>
    </w:p>
    <w:p w14:paraId="519A101B">
      <w:pPr>
        <w:numPr>
          <w:ilvl w:val="0"/>
          <w:numId w:val="4"/>
        </w:numPr>
        <w:adjustRightInd w:val="0"/>
        <w:spacing w:line="300" w:lineRule="auto"/>
        <w:textAlignment w:val="baseline"/>
        <w:rPr>
          <w:rFonts w:ascii="宋体" w:hAnsi="宋体" w:cs="宋体"/>
          <w:kern w:val="0"/>
          <w:sz w:val="24"/>
        </w:rPr>
      </w:pPr>
      <w:r>
        <w:rPr>
          <w:rFonts w:hint="eastAsia" w:ascii="宋体" w:hAnsi="宋体" w:cs="宋体"/>
          <w:kern w:val="0"/>
          <w:sz w:val="24"/>
        </w:rPr>
        <w:t>统计分析：</w:t>
      </w:r>
    </w:p>
    <w:p w14:paraId="232AC30B">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 xml:space="preserve">    1.安全性分析集</w:t>
      </w:r>
    </w:p>
    <w:p w14:paraId="329CB0DB">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包括所有至少接受过一次PEG-rhGH或rhGH治疗的患者。受试者分布、人口统计学等其他基线特征和安全性分析将基于安全性分析集。</w:t>
      </w:r>
    </w:p>
    <w:p w14:paraId="2B180962">
      <w:pPr>
        <w:numPr>
          <w:ilvl w:val="255"/>
          <w:numId w:val="0"/>
        </w:num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2.短期疗效分析集</w:t>
      </w:r>
    </w:p>
    <w:p w14:paraId="25316772">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包括充分了解研究情况、书面同意参与研究、完成至少1年PEG-rhGH或rhGH治疗的患者。有重要方案偏差的患者，如入组后发现不符合入排标准的患者、虽符合入排标准，但无任何随访记录者、重要数据（如基线身高）缺失者、间断性用药（用药间断时间超过2个月）等不纳入短期疗效分析。</w:t>
      </w:r>
    </w:p>
    <w:p w14:paraId="4E564D78">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 xml:space="preserve">    3.长期疗效分析集</w:t>
      </w:r>
    </w:p>
    <w:p w14:paraId="24EA0BFE">
      <w:pPr>
        <w:numPr>
          <w:ilvl w:val="255"/>
          <w:numId w:val="0"/>
        </w:numPr>
        <w:adjustRightInd w:val="0"/>
        <w:spacing w:line="300" w:lineRule="auto"/>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接受PEG-rhGH或rhGH治疗超过1年，且达到NAH的所有患者。</w:t>
      </w:r>
    </w:p>
    <w:p w14:paraId="02798D9F">
      <w:pPr>
        <w:numPr>
          <w:ilvl w:val="0"/>
          <w:numId w:val="5"/>
        </w:numPr>
        <w:adjustRightInd w:val="0"/>
        <w:spacing w:line="300" w:lineRule="auto"/>
        <w:textAlignment w:val="baseline"/>
        <w:rPr>
          <w:rFonts w:ascii="宋体" w:hAnsi="宋体" w:cs="宋体"/>
          <w:kern w:val="0"/>
          <w:sz w:val="24"/>
        </w:rPr>
      </w:pPr>
      <w:r>
        <w:rPr>
          <w:rFonts w:hint="eastAsia" w:ascii="宋体" w:hAnsi="宋体" w:cs="宋体"/>
          <w:kern w:val="0"/>
          <w:sz w:val="24"/>
        </w:rPr>
        <w:t>统计分析计划的</w:t>
      </w:r>
      <w:r>
        <w:rPr>
          <w:rFonts w:ascii="宋体" w:hAnsi="宋体" w:cs="宋体"/>
          <w:kern w:val="0"/>
          <w:sz w:val="24"/>
        </w:rPr>
        <w:t>一般原则</w:t>
      </w:r>
    </w:p>
    <w:p w14:paraId="2C409B0E">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统计软件：统计分析所采用的软件为R 4.2.2或更高版本，所有统计分析过程均严格按照统计标准操作规程（SOP）执行。</w:t>
      </w:r>
    </w:p>
    <w:p w14:paraId="0EC4765F">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统计学描述：计量指标的描述将计算均值、标准差、中位数、最小值、最大值，下四分位数（Q1），上四分位数（Q3），分类指标描述各类的例数及百分数。如无特殊说明，最小值和最大值的小数位数与数据库中记录的原始数据保持一致。均数和中位数的小数位数比数据库中记录的原始数据多保留一位小数，标准差比数据库中记录的原始数据多保留两位小数。所有统计数据的小数位数最多不超过四位。对于分类指标，描述性统计包括例数和百分比。百分比保留一位小数，频数为0的不报告百分比。按照不同适应证对患者的安全性和疗效性进行统计分析。</w:t>
      </w:r>
    </w:p>
    <w:p w14:paraId="466C8F55">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入组病例分布及人口学资料描述：描述病例筛选、病例入组及纳入分析集的病例数。对纳入分析病例的基本信息，如年龄、性别和疾病信息等按照一般原则进行统计学描述。</w:t>
      </w:r>
    </w:p>
    <w:p w14:paraId="6EFF51C3">
      <w:pPr>
        <w:numPr>
          <w:ilvl w:val="255"/>
          <w:numId w:val="0"/>
        </w:numPr>
        <w:adjustRightInd w:val="0"/>
        <w:spacing w:line="300" w:lineRule="auto"/>
        <w:textAlignment w:val="baseline"/>
        <w:rPr>
          <w:rFonts w:ascii="宋体" w:hAnsi="宋体" w:cs="宋体"/>
          <w:kern w:val="0"/>
          <w:sz w:val="24"/>
        </w:rPr>
      </w:pPr>
      <w:r>
        <w:rPr>
          <w:rFonts w:ascii="宋体" w:hAnsi="宋体" w:cs="宋体"/>
          <w:kern w:val="0"/>
          <w:sz w:val="24"/>
        </w:rPr>
        <w:t>P值设定：所有的统计检验都采用双侧检验，P＜0.05被认为被检验的统计量的别有统计学意义。</w:t>
      </w:r>
    </w:p>
    <w:p w14:paraId="61BFDD59">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安全性分析</w:t>
      </w:r>
    </w:p>
    <w:p w14:paraId="12430571">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对回顾性和前瞻性中的每一个研究队列分别收集安全性指标：AE和SAE。安全性数据将按不同适应证总结， 运用统计描述的方法报告PEG-rhGH或rhGH使用期间的各种不良反应发生率。不良事件数据，根据开始编码时现行版本的MedDRA 进行编码后，在统计分析中进行处理。汇总AE和SAE的发生率。若同一患者发生多个不良事件，计算发生率时，记为1例；患者多次发生同一不良事件时，在该不良事件发生率的计算中，记为1例。分系统、症状/体征计算发生率（例数的计数：至少发生过一次某一种不良反应的患者例数）。不良反应的严重程度：同一患者多次发生同一不良反应，以最严重的一次参与该不良反应的严重程度分析。</w:t>
      </w:r>
    </w:p>
    <w:p w14:paraId="2CDA58A0">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疗效性分析</w:t>
      </w:r>
    </w:p>
    <w:p w14:paraId="4C8660B1">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按适应证进行疗效性评估。有效性终点和实验室检查的相关指标进行描述性统计分析，定量数据以均值加减标准差的形式呈现，分类变量以频率百分比形式呈现。对短期疗效指标在短期疗效分析集中进行，组内分析采用重复测量方差分析，观察治疗期各个时间点的Ht SDS和GV的变化，对不同适应证之间的比较采用多因素重复测量方差分析或者广义估计方程进行分析。对于长期疗效指标的分析在长期疗效分析集中进行，采用配对T检验的方法比较组内基线Ht SDS和NAH Ht SDS的差异性以及遗传靶身高与NAH的差异性，组间比较基线Ht SDS和NAH Ht SDS的差值以及遗传靶身高与NAH的差值采用方差分析</w:t>
      </w:r>
    </w:p>
    <w:p w14:paraId="4DA12051">
      <w:pPr>
        <w:numPr>
          <w:ilvl w:val="0"/>
          <w:numId w:val="5"/>
        </w:numPr>
        <w:adjustRightInd w:val="0"/>
        <w:spacing w:line="300" w:lineRule="auto"/>
        <w:textAlignment w:val="baseline"/>
        <w:rPr>
          <w:rFonts w:ascii="宋体" w:hAnsi="宋体" w:cs="宋体"/>
          <w:kern w:val="0"/>
          <w:sz w:val="24"/>
        </w:rPr>
      </w:pPr>
      <w:r>
        <w:rPr>
          <w:rFonts w:ascii="宋体" w:hAnsi="宋体" w:cs="宋体"/>
          <w:kern w:val="0"/>
          <w:sz w:val="24"/>
        </w:rPr>
        <w:t>探索性分析</w:t>
      </w:r>
    </w:p>
    <w:p w14:paraId="3C980E80">
      <w:pPr>
        <w:numPr>
          <w:ilvl w:val="255"/>
          <w:numId w:val="0"/>
        </w:numPr>
        <w:adjustRightInd w:val="0"/>
        <w:spacing w:line="300" w:lineRule="auto"/>
        <w:ind w:firstLine="480" w:firstLineChars="200"/>
        <w:textAlignment w:val="baseline"/>
        <w:rPr>
          <w:rFonts w:ascii="宋体" w:hAnsi="宋体" w:cs="宋体"/>
          <w:kern w:val="0"/>
          <w:sz w:val="24"/>
        </w:rPr>
      </w:pPr>
      <w:r>
        <w:rPr>
          <w:rFonts w:ascii="宋体" w:hAnsi="宋体" w:cs="宋体"/>
          <w:kern w:val="0"/>
          <w:sz w:val="24"/>
        </w:rPr>
        <w:t>按适应证对PEG-rhGH或rhGH治疗前后IGF-1水平和BMI SDS的变化进行统计分析。</w:t>
      </w:r>
    </w:p>
    <w:p w14:paraId="2E1D404E">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四、伦理原则</w:t>
      </w:r>
    </w:p>
    <w:p w14:paraId="10F615CF">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研究的实施必须遵从源于赫尔辛基宣言的《临床试验质量管理规范（GCP）》、适用进行临床试验国家的法律、法规，从而最大限度地保护患者。</w:t>
      </w:r>
    </w:p>
    <w:p w14:paraId="30A75E22">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临床研究方案及其修正案、研究者手册、知情同意书、与研究有关的患者的信息（如招募患者的广告）以及其它必要的文件都要经过独立伦理委员会/审查委员会（IEC/IRB）的审核。</w:t>
      </w:r>
    </w:p>
    <w:p w14:paraId="67CEF113">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研究开始前必须获得IEC/IRB的批准，并在给研究者的批准信中标明委员会开会及批准的日期。</w:t>
      </w:r>
    </w:p>
    <w:p w14:paraId="4894A584">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任何对方案的修订必须得到IEC/IRB的正式批准或备案。</w:t>
      </w:r>
    </w:p>
    <w:p w14:paraId="0657D37B">
      <w:pPr>
        <w:adjustRightInd w:val="0"/>
        <w:spacing w:line="300" w:lineRule="auto"/>
        <w:ind w:firstLine="480" w:firstLineChars="200"/>
        <w:textAlignment w:val="baseline"/>
        <w:rPr>
          <w:rFonts w:ascii="宋体" w:hAnsi="宋体" w:cs="宋体"/>
          <w:kern w:val="0"/>
          <w:sz w:val="24"/>
        </w:rPr>
      </w:pPr>
      <w:r>
        <w:rPr>
          <w:rFonts w:hint="eastAsia" w:ascii="宋体" w:hAnsi="宋体" w:cs="宋体"/>
          <w:kern w:val="0"/>
          <w:sz w:val="24"/>
        </w:rPr>
        <w:t>所有SAE将按照相关的法规要求向相关的伦理委员会和监管机构报告。</w:t>
      </w:r>
    </w:p>
    <w:p w14:paraId="2A1D21A5">
      <w:pPr>
        <w:adjustRightInd w:val="0"/>
        <w:spacing w:line="300" w:lineRule="auto"/>
        <w:textAlignment w:val="baseline"/>
        <w:rPr>
          <w:rFonts w:ascii="宋体" w:hAnsi="宋体" w:cs="宋体"/>
          <w:kern w:val="0"/>
          <w:sz w:val="24"/>
        </w:rPr>
      </w:pPr>
      <w:r>
        <w:rPr>
          <w:rFonts w:hint="eastAsia" w:ascii="宋体" w:hAnsi="宋体" w:cs="宋体"/>
          <w:kern w:val="0"/>
          <w:sz w:val="24"/>
        </w:rPr>
        <w:t>研究过程中，如果出现方案违背可能会增加患者的风险，研究者也应迅速向IEC/IRB报告。</w:t>
      </w:r>
    </w:p>
    <w:p w14:paraId="77D16D15">
      <w:pPr>
        <w:numPr>
          <w:ilvl w:val="0"/>
          <w:numId w:val="6"/>
        </w:numPr>
        <w:adjustRightInd w:val="0"/>
        <w:spacing w:line="300" w:lineRule="auto"/>
        <w:textAlignment w:val="baseline"/>
        <w:rPr>
          <w:rFonts w:hint="eastAsia" w:ascii="宋体" w:hAnsi="宋体" w:cs="宋体"/>
          <w:b/>
          <w:bCs/>
          <w:kern w:val="0"/>
          <w:sz w:val="24"/>
        </w:rPr>
      </w:pPr>
      <w:r>
        <w:rPr>
          <w:rFonts w:hint="eastAsia" w:ascii="宋体" w:hAnsi="宋体" w:cs="宋体"/>
          <w:b/>
          <w:bCs/>
          <w:kern w:val="0"/>
          <w:sz w:val="24"/>
        </w:rPr>
        <w:t>计划及进展</w:t>
      </w:r>
    </w:p>
    <w:tbl>
      <w:tblPr>
        <w:tblStyle w:val="10"/>
        <w:tblpPr w:leftFromText="180" w:rightFromText="180" w:vertAnchor="text" w:horzAnchor="page" w:tblpX="1621" w:tblpY="480"/>
        <w:tblOverlap w:val="never"/>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748"/>
      </w:tblGrid>
      <w:tr w14:paraId="42D6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A291D82">
            <w:pPr>
              <w:spacing w:line="480" w:lineRule="exact"/>
              <w:rPr>
                <w:rFonts w:ascii="仿宋" w:hAnsi="仿宋" w:eastAsia="仿宋" w:cs="仿宋"/>
                <w:sz w:val="28"/>
                <w:szCs w:val="28"/>
              </w:rPr>
            </w:pPr>
            <w:r>
              <w:rPr>
                <w:rFonts w:hint="eastAsia" w:ascii="仿宋" w:hAnsi="仿宋" w:eastAsia="仿宋" w:cs="仿宋"/>
                <w:sz w:val="28"/>
                <w:szCs w:val="28"/>
              </w:rPr>
              <w:t>时间</w:t>
            </w:r>
          </w:p>
        </w:tc>
        <w:tc>
          <w:tcPr>
            <w:tcW w:w="5748" w:type="dxa"/>
          </w:tcPr>
          <w:p w14:paraId="4A265BC2">
            <w:pPr>
              <w:spacing w:line="480" w:lineRule="exact"/>
              <w:rPr>
                <w:rFonts w:ascii="仿宋" w:hAnsi="仿宋" w:eastAsia="仿宋" w:cs="仿宋"/>
                <w:sz w:val="28"/>
                <w:szCs w:val="28"/>
              </w:rPr>
            </w:pPr>
            <w:r>
              <w:rPr>
                <w:rFonts w:hint="eastAsia" w:ascii="仿宋" w:hAnsi="仿宋" w:eastAsia="仿宋" w:cs="仿宋"/>
                <w:sz w:val="28"/>
                <w:szCs w:val="28"/>
              </w:rPr>
              <w:t>项目规划</w:t>
            </w:r>
          </w:p>
        </w:tc>
      </w:tr>
      <w:tr w14:paraId="3CE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127" w:type="dxa"/>
            <w:vAlign w:val="center"/>
          </w:tcPr>
          <w:p w14:paraId="43251377">
            <w:pPr>
              <w:spacing w:line="480" w:lineRule="exact"/>
              <w:rPr>
                <w:rFonts w:ascii="仿宋" w:hAnsi="仿宋" w:eastAsia="仿宋" w:cs="仿宋"/>
                <w:sz w:val="28"/>
                <w:szCs w:val="28"/>
              </w:rPr>
            </w:pPr>
            <w:r>
              <w:rPr>
                <w:rFonts w:hint="eastAsia" w:ascii="仿宋" w:hAnsi="仿宋" w:eastAsia="仿宋" w:cs="仿宋"/>
                <w:sz w:val="28"/>
                <w:szCs w:val="28"/>
              </w:rPr>
              <w:t>2025年5-6月</w:t>
            </w:r>
          </w:p>
          <w:p w14:paraId="6B0E8C04">
            <w:pPr>
              <w:spacing w:line="480" w:lineRule="exact"/>
              <w:rPr>
                <w:rFonts w:ascii="仿宋" w:hAnsi="仿宋" w:eastAsia="仿宋" w:cs="仿宋"/>
                <w:sz w:val="28"/>
                <w:szCs w:val="28"/>
              </w:rPr>
            </w:pPr>
          </w:p>
        </w:tc>
        <w:tc>
          <w:tcPr>
            <w:tcW w:w="5748" w:type="dxa"/>
            <w:vAlign w:val="center"/>
          </w:tcPr>
          <w:p w14:paraId="4F4B75B5">
            <w:pPr>
              <w:numPr>
                <w:ilvl w:val="0"/>
                <w:numId w:val="7"/>
              </w:numPr>
              <w:spacing w:line="480" w:lineRule="exact"/>
              <w:rPr>
                <w:rFonts w:ascii="仿宋" w:hAnsi="仿宋" w:eastAsia="仿宋" w:cs="仿宋"/>
                <w:bCs/>
                <w:sz w:val="28"/>
                <w:szCs w:val="28"/>
              </w:rPr>
            </w:pPr>
            <w:r>
              <w:rPr>
                <w:rFonts w:hint="eastAsia" w:ascii="仿宋" w:hAnsi="仿宋" w:eastAsia="仿宋" w:cs="仿宋"/>
                <w:bCs/>
                <w:sz w:val="28"/>
                <w:szCs w:val="28"/>
              </w:rPr>
              <w:t>项目前期筹备</w:t>
            </w:r>
          </w:p>
          <w:p w14:paraId="53E32E21">
            <w:pPr>
              <w:numPr>
                <w:ilvl w:val="0"/>
                <w:numId w:val="7"/>
              </w:numPr>
              <w:spacing w:line="480" w:lineRule="exact"/>
              <w:rPr>
                <w:rFonts w:ascii="仿宋" w:hAnsi="仿宋" w:eastAsia="仿宋" w:cs="仿宋"/>
                <w:bCs/>
                <w:sz w:val="28"/>
                <w:szCs w:val="28"/>
              </w:rPr>
            </w:pPr>
            <w:r>
              <w:rPr>
                <w:rFonts w:hint="eastAsia" w:ascii="仿宋" w:hAnsi="仿宋" w:eastAsia="仿宋" w:cs="仿宋"/>
                <w:bCs/>
                <w:sz w:val="28"/>
                <w:szCs w:val="28"/>
              </w:rPr>
              <w:t>发文挂网通知有关</w:t>
            </w:r>
            <w:r>
              <w:rPr>
                <w:rFonts w:hint="eastAsia" w:ascii="仿宋" w:hAnsi="仿宋" w:eastAsia="仿宋" w:cs="仿宋"/>
                <w:sz w:val="28"/>
                <w:szCs w:val="28"/>
              </w:rPr>
              <w:t>中国儿童生长激素长期疗效及安全性评估中心</w:t>
            </w:r>
            <w:r>
              <w:rPr>
                <w:rFonts w:hint="eastAsia" w:ascii="仿宋" w:hAnsi="仿宋" w:eastAsia="仿宋" w:cs="仿宋"/>
                <w:bCs/>
                <w:sz w:val="28"/>
                <w:szCs w:val="28"/>
              </w:rPr>
              <w:t>入选相关要求</w:t>
            </w:r>
          </w:p>
        </w:tc>
      </w:tr>
      <w:tr w14:paraId="3D89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14:paraId="51F80EEB">
            <w:pPr>
              <w:spacing w:line="480" w:lineRule="exact"/>
              <w:rPr>
                <w:rFonts w:ascii="仿宋" w:hAnsi="仿宋" w:eastAsia="仿宋" w:cs="仿宋"/>
                <w:sz w:val="28"/>
                <w:szCs w:val="28"/>
              </w:rPr>
            </w:pPr>
            <w:r>
              <w:rPr>
                <w:rFonts w:hint="eastAsia" w:ascii="仿宋" w:hAnsi="仿宋" w:eastAsia="仿宋" w:cs="仿宋"/>
                <w:sz w:val="28"/>
                <w:szCs w:val="28"/>
              </w:rPr>
              <w:t>2025年7月-2026年12月</w:t>
            </w:r>
          </w:p>
        </w:tc>
        <w:tc>
          <w:tcPr>
            <w:tcW w:w="5748" w:type="dxa"/>
            <w:vAlign w:val="center"/>
          </w:tcPr>
          <w:p w14:paraId="12A96BF8">
            <w:pPr>
              <w:spacing w:line="480" w:lineRule="exact"/>
              <w:jc w:val="left"/>
              <w:rPr>
                <w:rFonts w:ascii="仿宋" w:hAnsi="仿宋" w:eastAsia="仿宋" w:cs="仿宋"/>
                <w:sz w:val="28"/>
                <w:szCs w:val="28"/>
              </w:rPr>
            </w:pPr>
            <w:r>
              <w:rPr>
                <w:rFonts w:hint="eastAsia" w:ascii="仿宋" w:hAnsi="仿宋" w:eastAsia="仿宋" w:cs="仿宋"/>
                <w:sz w:val="28"/>
                <w:szCs w:val="28"/>
              </w:rPr>
              <w:t>1.2025年7月完成全国各区域医院</w:t>
            </w:r>
            <w:r>
              <w:rPr>
                <w:rFonts w:hint="eastAsia" w:ascii="仿宋" w:hAnsi="仿宋" w:eastAsia="仿宋" w:cs="仿宋"/>
                <w:bCs/>
                <w:sz w:val="28"/>
                <w:szCs w:val="28"/>
              </w:rPr>
              <w:t>提交申请成为</w:t>
            </w:r>
            <w:r>
              <w:rPr>
                <w:rFonts w:hint="eastAsia" w:ascii="仿宋" w:hAnsi="仿宋" w:eastAsia="仿宋" w:cs="仿宋"/>
                <w:sz w:val="28"/>
                <w:szCs w:val="28"/>
              </w:rPr>
              <w:t>中国儿童生长激素长期疗效及安全性评估中心</w:t>
            </w:r>
          </w:p>
          <w:p w14:paraId="3B128D13">
            <w:pPr>
              <w:spacing w:line="480" w:lineRule="exact"/>
              <w:jc w:val="left"/>
              <w:rPr>
                <w:rFonts w:ascii="仿宋" w:hAnsi="仿宋" w:eastAsia="仿宋" w:cs="仿宋"/>
                <w:sz w:val="28"/>
                <w:szCs w:val="28"/>
              </w:rPr>
            </w:pPr>
            <w:r>
              <w:rPr>
                <w:rFonts w:hint="eastAsia" w:ascii="仿宋" w:hAnsi="仿宋" w:eastAsia="仿宋" w:cs="仿宋"/>
                <w:sz w:val="28"/>
                <w:szCs w:val="28"/>
              </w:rPr>
              <w:t>2.2025年12月完成各医院按入组要求完成中心流程</w:t>
            </w:r>
          </w:p>
          <w:p w14:paraId="035E347A">
            <w:pPr>
              <w:spacing w:line="480" w:lineRule="exact"/>
              <w:jc w:val="left"/>
              <w:rPr>
                <w:rFonts w:ascii="仿宋" w:hAnsi="仿宋" w:eastAsia="仿宋" w:cs="仿宋"/>
                <w:sz w:val="28"/>
                <w:szCs w:val="28"/>
              </w:rPr>
            </w:pPr>
            <w:r>
              <w:rPr>
                <w:rFonts w:hint="eastAsia" w:ascii="仿宋" w:hAnsi="仿宋" w:eastAsia="仿宋" w:cs="仿宋"/>
                <w:sz w:val="28"/>
                <w:szCs w:val="28"/>
              </w:rPr>
              <w:t>3.2025年12月31日前完成一、二期7000例前瞻患者入组，开启第二年随访</w:t>
            </w:r>
          </w:p>
          <w:p w14:paraId="7444880E">
            <w:pPr>
              <w:spacing w:line="480" w:lineRule="exact"/>
              <w:jc w:val="left"/>
              <w:rPr>
                <w:rFonts w:ascii="仿宋" w:hAnsi="仿宋" w:eastAsia="仿宋" w:cs="仿宋"/>
                <w:sz w:val="28"/>
                <w:szCs w:val="28"/>
              </w:rPr>
            </w:pPr>
            <w:r>
              <w:rPr>
                <w:rFonts w:hint="eastAsia" w:ascii="仿宋" w:hAnsi="仿宋" w:eastAsia="仿宋" w:cs="仿宋"/>
                <w:sz w:val="28"/>
                <w:szCs w:val="28"/>
              </w:rPr>
              <w:t>4.2026年12月31日前完成三期5000例前瞻患者入组</w:t>
            </w:r>
          </w:p>
        </w:tc>
      </w:tr>
      <w:tr w14:paraId="358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vAlign w:val="center"/>
          </w:tcPr>
          <w:p w14:paraId="0BF6B526">
            <w:pPr>
              <w:spacing w:line="480" w:lineRule="exact"/>
              <w:rPr>
                <w:rFonts w:ascii="仿宋" w:hAnsi="仿宋" w:eastAsia="仿宋" w:cs="仿宋"/>
                <w:sz w:val="28"/>
                <w:szCs w:val="28"/>
              </w:rPr>
            </w:pPr>
            <w:r>
              <w:rPr>
                <w:rFonts w:hint="eastAsia" w:ascii="仿宋" w:hAnsi="仿宋" w:eastAsia="仿宋" w:cs="仿宋"/>
                <w:sz w:val="28"/>
                <w:szCs w:val="28"/>
              </w:rPr>
              <w:t>2025年7月-2029年6月</w:t>
            </w:r>
          </w:p>
        </w:tc>
        <w:tc>
          <w:tcPr>
            <w:tcW w:w="5748" w:type="dxa"/>
            <w:vAlign w:val="center"/>
          </w:tcPr>
          <w:p w14:paraId="392FA598">
            <w:pPr>
              <w:spacing w:line="480" w:lineRule="exact"/>
              <w:jc w:val="left"/>
              <w:rPr>
                <w:rFonts w:ascii="仿宋" w:hAnsi="仿宋" w:eastAsia="仿宋" w:cs="仿宋"/>
                <w:sz w:val="28"/>
                <w:szCs w:val="28"/>
              </w:rPr>
            </w:pPr>
            <w:r>
              <w:rPr>
                <w:rFonts w:hint="eastAsia" w:ascii="仿宋" w:hAnsi="仿宋" w:eastAsia="仿宋" w:cs="仿宋"/>
                <w:sz w:val="28"/>
                <w:szCs w:val="28"/>
              </w:rPr>
              <w:t>1.按数据要求采集相关数据并汇总</w:t>
            </w:r>
          </w:p>
          <w:p w14:paraId="234ED47E">
            <w:pPr>
              <w:pStyle w:val="34"/>
              <w:spacing w:line="480" w:lineRule="exact"/>
              <w:ind w:firstLine="0"/>
              <w:rPr>
                <w:rFonts w:ascii="仿宋" w:hAnsi="仿宋" w:eastAsia="仿宋" w:cs="仿宋"/>
                <w:sz w:val="28"/>
                <w:szCs w:val="28"/>
              </w:rPr>
            </w:pPr>
            <w:r>
              <w:rPr>
                <w:rFonts w:hint="eastAsia" w:ascii="仿宋" w:hAnsi="仿宋" w:eastAsia="仿宋" w:cs="仿宋"/>
                <w:sz w:val="28"/>
                <w:szCs w:val="28"/>
                <w:lang w:val="en-US" w:eastAsia="zh-CN"/>
              </w:rPr>
              <w:t>2.2025年6月30日前完成5000例数据清理，后续每半年数据清理一次，预计发表</w:t>
            </w:r>
            <w:r>
              <w:rPr>
                <w:rFonts w:hint="eastAsia" w:ascii="仿宋" w:hAnsi="仿宋" w:eastAsia="仿宋" w:cs="仿宋"/>
                <w:sz w:val="28"/>
                <w:szCs w:val="28"/>
                <w:highlight w:val="none"/>
                <w:lang w:val="en-US" w:eastAsia="zh-CN"/>
              </w:rPr>
              <w:t>5篇文章</w:t>
            </w:r>
          </w:p>
        </w:tc>
      </w:tr>
      <w:tr w14:paraId="3E10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vAlign w:val="center"/>
          </w:tcPr>
          <w:p w14:paraId="35D42DDF">
            <w:pPr>
              <w:spacing w:line="480" w:lineRule="exact"/>
              <w:rPr>
                <w:rFonts w:ascii="仿宋" w:hAnsi="仿宋" w:eastAsia="仿宋" w:cs="仿宋"/>
                <w:sz w:val="28"/>
                <w:szCs w:val="28"/>
              </w:rPr>
            </w:pPr>
            <w:r>
              <w:rPr>
                <w:rFonts w:hint="eastAsia" w:ascii="仿宋" w:hAnsi="仿宋" w:eastAsia="仿宋" w:cs="仿宋"/>
                <w:sz w:val="28"/>
                <w:szCs w:val="28"/>
              </w:rPr>
              <w:t>2029年6月</w:t>
            </w:r>
          </w:p>
        </w:tc>
        <w:tc>
          <w:tcPr>
            <w:tcW w:w="5748" w:type="dxa"/>
            <w:vAlign w:val="center"/>
          </w:tcPr>
          <w:p w14:paraId="256DEEBD">
            <w:pPr>
              <w:pStyle w:val="34"/>
              <w:spacing w:line="480" w:lineRule="exact"/>
              <w:ind w:firstLine="0"/>
              <w:rPr>
                <w:rFonts w:ascii="仿宋" w:hAnsi="仿宋" w:eastAsia="仿宋" w:cs="仿宋"/>
                <w:sz w:val="28"/>
                <w:szCs w:val="28"/>
                <w:lang w:val="en-US" w:eastAsia="zh-CN"/>
              </w:rPr>
            </w:pPr>
            <w:r>
              <w:rPr>
                <w:rFonts w:hint="eastAsia" w:ascii="仿宋" w:hAnsi="仿宋" w:eastAsia="仿宋" w:cs="仿宋"/>
                <w:bCs/>
                <w:sz w:val="28"/>
                <w:szCs w:val="28"/>
                <w:lang w:val="en-US" w:eastAsia="zh-CN" w:bidi="ar-SA"/>
              </w:rPr>
              <w:t>提交</w:t>
            </w:r>
            <w:r>
              <w:rPr>
                <w:rFonts w:hint="eastAsia" w:ascii="仿宋" w:hAnsi="仿宋" w:eastAsia="仿宋" w:cs="仿宋"/>
                <w:bCs/>
                <w:sz w:val="28"/>
                <w:szCs w:val="28"/>
                <w:highlight w:val="none"/>
                <w:lang w:val="en-US" w:eastAsia="zh-CN" w:bidi="ar-SA"/>
              </w:rPr>
              <w:t>结题报告</w:t>
            </w:r>
          </w:p>
        </w:tc>
      </w:tr>
    </w:tbl>
    <w:p w14:paraId="5790DA99">
      <w:pPr>
        <w:adjustRightInd w:val="0"/>
        <w:spacing w:line="300" w:lineRule="auto"/>
        <w:textAlignment w:val="baseline"/>
        <w:rPr>
          <w:rFonts w:ascii="宋体" w:hAnsi="宋体" w:cs="宋体"/>
          <w:b/>
          <w:bCs/>
          <w:kern w:val="0"/>
          <w:sz w:val="24"/>
        </w:rPr>
      </w:pPr>
    </w:p>
    <w:p w14:paraId="73B58F91">
      <w:pPr>
        <w:adjustRightInd w:val="0"/>
        <w:spacing w:line="300" w:lineRule="auto"/>
        <w:textAlignment w:val="baseline"/>
        <w:rPr>
          <w:rFonts w:ascii="宋体" w:hAnsi="宋体" w:cs="宋体"/>
          <w:b/>
          <w:bCs/>
          <w:kern w:val="0"/>
          <w:sz w:val="24"/>
        </w:rPr>
      </w:pPr>
    </w:p>
    <w:p w14:paraId="2B0212A6">
      <w:pPr>
        <w:adjustRightInd w:val="0"/>
        <w:spacing w:line="300" w:lineRule="auto"/>
        <w:textAlignment w:val="baseline"/>
        <w:rPr>
          <w:rFonts w:ascii="宋体" w:hAnsi="宋体" w:cs="宋体"/>
          <w:b/>
          <w:bCs/>
          <w:kern w:val="0"/>
          <w:sz w:val="24"/>
        </w:rPr>
      </w:pPr>
    </w:p>
    <w:p w14:paraId="0F025590">
      <w:pPr>
        <w:adjustRightInd w:val="0"/>
        <w:spacing w:line="300" w:lineRule="auto"/>
        <w:textAlignment w:val="baseline"/>
        <w:rPr>
          <w:rFonts w:ascii="宋体" w:hAnsi="宋体" w:cs="宋体"/>
          <w:b/>
          <w:bCs/>
          <w:kern w:val="0"/>
          <w:sz w:val="24"/>
        </w:rPr>
      </w:pPr>
    </w:p>
    <w:p w14:paraId="4D9C1CAC">
      <w:pPr>
        <w:adjustRightInd w:val="0"/>
        <w:spacing w:line="300" w:lineRule="auto"/>
        <w:textAlignment w:val="baseline"/>
        <w:rPr>
          <w:rFonts w:ascii="宋体" w:hAnsi="宋体" w:cs="宋体"/>
          <w:b/>
          <w:bCs/>
          <w:kern w:val="0"/>
          <w:sz w:val="24"/>
        </w:rPr>
      </w:pPr>
    </w:p>
    <w:p w14:paraId="243E7E05">
      <w:pPr>
        <w:adjustRightInd w:val="0"/>
        <w:spacing w:line="300" w:lineRule="auto"/>
        <w:textAlignment w:val="baseline"/>
        <w:rPr>
          <w:rFonts w:ascii="宋体" w:hAnsi="宋体" w:cs="宋体"/>
          <w:b/>
          <w:bCs/>
          <w:kern w:val="0"/>
          <w:sz w:val="24"/>
        </w:rPr>
      </w:pPr>
    </w:p>
    <w:p w14:paraId="1353EC60">
      <w:pPr>
        <w:adjustRightInd w:val="0"/>
        <w:spacing w:line="300" w:lineRule="auto"/>
        <w:textAlignment w:val="baseline"/>
        <w:rPr>
          <w:rFonts w:ascii="宋体" w:hAnsi="宋体" w:cs="宋体"/>
          <w:b/>
          <w:bCs/>
          <w:kern w:val="0"/>
          <w:sz w:val="24"/>
        </w:rPr>
      </w:pPr>
    </w:p>
    <w:p w14:paraId="33D87E04">
      <w:pPr>
        <w:adjustRightInd w:val="0"/>
        <w:spacing w:line="300" w:lineRule="auto"/>
        <w:textAlignment w:val="baseline"/>
        <w:rPr>
          <w:rFonts w:ascii="宋体" w:hAnsi="宋体" w:cs="宋体"/>
          <w:b/>
          <w:bCs/>
          <w:kern w:val="0"/>
          <w:sz w:val="24"/>
        </w:rPr>
      </w:pPr>
    </w:p>
    <w:p w14:paraId="7F7F102E">
      <w:pPr>
        <w:adjustRightInd w:val="0"/>
        <w:spacing w:line="300" w:lineRule="auto"/>
        <w:textAlignment w:val="baseline"/>
        <w:rPr>
          <w:rFonts w:ascii="宋体" w:hAnsi="宋体" w:cs="宋体"/>
          <w:b/>
          <w:bCs/>
          <w:kern w:val="0"/>
          <w:sz w:val="24"/>
        </w:rPr>
      </w:pPr>
    </w:p>
    <w:p w14:paraId="00F89177">
      <w:pPr>
        <w:adjustRightInd w:val="0"/>
        <w:spacing w:line="300" w:lineRule="auto"/>
        <w:textAlignment w:val="baseline"/>
        <w:rPr>
          <w:rFonts w:ascii="宋体" w:hAnsi="宋体" w:cs="宋体"/>
          <w:b/>
          <w:bCs/>
          <w:kern w:val="0"/>
          <w:sz w:val="24"/>
        </w:rPr>
      </w:pPr>
    </w:p>
    <w:p w14:paraId="2115D5D0">
      <w:pPr>
        <w:adjustRightInd w:val="0"/>
        <w:spacing w:line="300" w:lineRule="auto"/>
        <w:textAlignment w:val="baseline"/>
        <w:rPr>
          <w:rFonts w:ascii="宋体" w:hAnsi="宋体" w:cs="宋体"/>
          <w:b/>
          <w:bCs/>
          <w:kern w:val="0"/>
          <w:sz w:val="24"/>
        </w:rPr>
      </w:pPr>
    </w:p>
    <w:p w14:paraId="23E03CBD">
      <w:pPr>
        <w:adjustRightInd w:val="0"/>
        <w:spacing w:line="300" w:lineRule="auto"/>
        <w:textAlignment w:val="baseline"/>
        <w:rPr>
          <w:rFonts w:ascii="宋体" w:hAnsi="宋体" w:cs="宋体"/>
          <w:b/>
          <w:bCs/>
          <w:kern w:val="0"/>
          <w:sz w:val="24"/>
        </w:rPr>
      </w:pPr>
    </w:p>
    <w:p w14:paraId="56CFFC05">
      <w:pPr>
        <w:adjustRightInd w:val="0"/>
        <w:spacing w:line="300" w:lineRule="auto"/>
        <w:textAlignment w:val="baseline"/>
        <w:rPr>
          <w:rFonts w:ascii="宋体" w:hAnsi="宋体" w:cs="宋体"/>
          <w:b/>
          <w:bCs/>
          <w:kern w:val="0"/>
          <w:sz w:val="24"/>
        </w:rPr>
      </w:pPr>
    </w:p>
    <w:p w14:paraId="2E5CAA9D">
      <w:pPr>
        <w:adjustRightInd w:val="0"/>
        <w:spacing w:line="300" w:lineRule="auto"/>
        <w:textAlignment w:val="baseline"/>
        <w:rPr>
          <w:rFonts w:ascii="宋体" w:hAnsi="宋体" w:cs="宋体"/>
          <w:b/>
          <w:bCs/>
          <w:kern w:val="0"/>
          <w:sz w:val="24"/>
        </w:rPr>
      </w:pPr>
    </w:p>
    <w:p w14:paraId="76329610">
      <w:pPr>
        <w:adjustRightInd w:val="0"/>
        <w:spacing w:line="300" w:lineRule="auto"/>
        <w:textAlignment w:val="baseline"/>
        <w:rPr>
          <w:rFonts w:ascii="宋体" w:hAnsi="宋体" w:cs="宋体"/>
          <w:b/>
          <w:bCs/>
          <w:kern w:val="0"/>
          <w:sz w:val="24"/>
        </w:rPr>
      </w:pPr>
    </w:p>
    <w:p w14:paraId="5C7CB106">
      <w:pPr>
        <w:adjustRightInd w:val="0"/>
        <w:spacing w:line="300" w:lineRule="auto"/>
        <w:textAlignment w:val="baseline"/>
        <w:rPr>
          <w:rFonts w:ascii="宋体" w:hAnsi="宋体" w:cs="宋体"/>
          <w:b/>
          <w:bCs/>
          <w:kern w:val="0"/>
          <w:sz w:val="24"/>
        </w:rPr>
      </w:pPr>
    </w:p>
    <w:p w14:paraId="6B4BB87F">
      <w:pPr>
        <w:adjustRightInd w:val="0"/>
        <w:spacing w:line="300" w:lineRule="auto"/>
        <w:textAlignment w:val="baseline"/>
        <w:rPr>
          <w:rFonts w:ascii="宋体" w:hAnsi="宋体" w:cs="宋体"/>
          <w:b/>
          <w:bCs/>
          <w:kern w:val="0"/>
          <w:sz w:val="24"/>
        </w:rPr>
      </w:pPr>
    </w:p>
    <w:p w14:paraId="669C9B3C">
      <w:pPr>
        <w:adjustRightInd w:val="0"/>
        <w:spacing w:line="300" w:lineRule="auto"/>
        <w:textAlignment w:val="baseline"/>
        <w:rPr>
          <w:rFonts w:ascii="宋体" w:hAnsi="宋体" w:cs="宋体"/>
          <w:b/>
          <w:bCs/>
          <w:kern w:val="0"/>
          <w:sz w:val="24"/>
        </w:rPr>
      </w:pPr>
    </w:p>
    <w:p w14:paraId="0D687770">
      <w:pPr>
        <w:adjustRightInd w:val="0"/>
        <w:spacing w:line="300" w:lineRule="auto"/>
        <w:textAlignment w:val="baseline"/>
        <w:rPr>
          <w:rFonts w:ascii="宋体" w:hAnsi="宋体" w:cs="宋体"/>
          <w:b/>
          <w:bCs/>
          <w:kern w:val="0"/>
          <w:sz w:val="24"/>
        </w:rPr>
      </w:pPr>
    </w:p>
    <w:p w14:paraId="39EEDEE3">
      <w:pPr>
        <w:adjustRightInd w:val="0"/>
        <w:spacing w:line="300" w:lineRule="auto"/>
        <w:textAlignment w:val="baseline"/>
        <w:rPr>
          <w:rFonts w:ascii="宋体" w:hAnsi="宋体" w:cs="宋体"/>
          <w:b/>
          <w:bCs/>
          <w:kern w:val="0"/>
          <w:sz w:val="24"/>
        </w:rPr>
      </w:pPr>
    </w:p>
    <w:p w14:paraId="5CEE43B4">
      <w:pPr>
        <w:adjustRightInd w:val="0"/>
        <w:spacing w:line="300" w:lineRule="auto"/>
        <w:textAlignment w:val="baseline"/>
        <w:rPr>
          <w:rFonts w:hint="eastAsia" w:ascii="宋体" w:hAnsi="宋体" w:cs="宋体"/>
          <w:b/>
          <w:bCs/>
          <w:kern w:val="0"/>
          <w:sz w:val="24"/>
        </w:rPr>
      </w:pPr>
    </w:p>
    <w:p w14:paraId="75E90C0D">
      <w:pPr>
        <w:adjustRightInd w:val="0"/>
        <w:spacing w:line="300" w:lineRule="auto"/>
        <w:textAlignment w:val="baseline"/>
        <w:rPr>
          <w:rFonts w:hint="eastAsia" w:ascii="宋体" w:hAnsi="宋体" w:cs="宋体"/>
          <w:b/>
          <w:bCs/>
          <w:kern w:val="0"/>
          <w:sz w:val="24"/>
        </w:rPr>
      </w:pPr>
    </w:p>
    <w:p w14:paraId="2D636E83">
      <w:pPr>
        <w:adjustRightInd w:val="0"/>
        <w:spacing w:line="300" w:lineRule="auto"/>
        <w:textAlignment w:val="baseline"/>
        <w:rPr>
          <w:rFonts w:hint="eastAsia" w:ascii="宋体" w:hAnsi="宋体" w:cs="宋体"/>
          <w:b/>
          <w:bCs/>
          <w:kern w:val="0"/>
          <w:sz w:val="24"/>
        </w:rPr>
      </w:pPr>
    </w:p>
    <w:p w14:paraId="308FDD26">
      <w:pPr>
        <w:adjustRightInd w:val="0"/>
        <w:spacing w:line="300" w:lineRule="auto"/>
        <w:textAlignment w:val="baseline"/>
        <w:rPr>
          <w:rFonts w:hint="eastAsia" w:ascii="宋体" w:hAnsi="宋体" w:cs="宋体"/>
          <w:b/>
          <w:bCs/>
          <w:kern w:val="0"/>
          <w:sz w:val="24"/>
        </w:rPr>
      </w:pPr>
    </w:p>
    <w:p w14:paraId="0C6DB0B9">
      <w:pPr>
        <w:adjustRightInd w:val="0"/>
        <w:spacing w:line="300" w:lineRule="auto"/>
        <w:textAlignment w:val="baseline"/>
        <w:rPr>
          <w:rFonts w:hint="eastAsia" w:ascii="宋体" w:hAnsi="宋体" w:cs="宋体"/>
          <w:b/>
          <w:bCs/>
          <w:kern w:val="0"/>
          <w:sz w:val="24"/>
        </w:rPr>
      </w:pPr>
    </w:p>
    <w:p w14:paraId="55BC7BA1">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六、预期成果价值</w:t>
      </w:r>
    </w:p>
    <w:p w14:paraId="3FD1AAEE">
      <w:pPr>
        <w:spacing w:before="120"/>
        <w:ind w:right="-61" w:firstLine="480" w:firstLineChars="200"/>
        <w:rPr>
          <w:rFonts w:ascii="宋体" w:hAnsi="宋体" w:cs="宋体"/>
          <w:bCs/>
          <w:color w:val="000000"/>
          <w:sz w:val="24"/>
        </w:rPr>
      </w:pPr>
      <w:r>
        <w:rPr>
          <w:rFonts w:hint="eastAsia" w:ascii="宋体" w:hAnsi="宋体" w:cs="宋体"/>
          <w:bCs/>
          <w:color w:val="000000"/>
          <w:sz w:val="24"/>
        </w:rPr>
        <w:t>通过项目开展进一步建立完善儿童成长激素安全性评估，帮助相关医疗机构建立长效管理机制，邀请更多相关医师参与项目，扩大项目数据并进行系统分析，最终对儿童成长激素安全性和疗效建立长期监测</w:t>
      </w:r>
      <w:r>
        <w:rPr>
          <w:rFonts w:hint="eastAsia" w:ascii="宋体" w:hAnsi="宋体" w:cs="宋体"/>
          <w:bCs/>
          <w:color w:val="000000"/>
          <w:sz w:val="24"/>
          <w:lang w:val="zh-TW" w:eastAsia="zh-TW"/>
        </w:rPr>
        <w:t>。</w:t>
      </w:r>
    </w:p>
    <w:p w14:paraId="0FA4E32F">
      <w:pPr>
        <w:spacing w:before="120"/>
        <w:ind w:right="-61"/>
        <w:rPr>
          <w:rFonts w:ascii="宋体" w:hAnsi="宋体" w:cs="宋体"/>
          <w:b/>
          <w:color w:val="000000"/>
          <w:sz w:val="24"/>
        </w:rPr>
      </w:pPr>
      <w:r>
        <w:rPr>
          <w:rFonts w:hint="eastAsia" w:ascii="宋体" w:hAnsi="宋体" w:cs="宋体"/>
          <w:b/>
          <w:color w:val="000000"/>
          <w:sz w:val="24"/>
        </w:rPr>
        <w:t>七、其他</w:t>
      </w:r>
    </w:p>
    <w:p w14:paraId="18C805EA">
      <w:pPr>
        <w:spacing w:before="120"/>
        <w:ind w:right="-61"/>
        <w:rPr>
          <w:rFonts w:ascii="宋体" w:hAnsi="宋体" w:cs="宋体"/>
          <w:b/>
          <w:color w:val="000000"/>
          <w:sz w:val="24"/>
        </w:rPr>
      </w:pPr>
    </w:p>
    <w:p w14:paraId="7F4A7773">
      <w:pPr>
        <w:spacing w:before="120"/>
        <w:ind w:right="-61"/>
        <w:rPr>
          <w:rFonts w:ascii="宋体" w:hAnsi="宋体" w:cs="宋体"/>
          <w:b/>
          <w:color w:val="000000"/>
          <w:sz w:val="24"/>
        </w:rPr>
      </w:pPr>
    </w:p>
    <w:p w14:paraId="240F3A4E">
      <w:pPr>
        <w:spacing w:before="120"/>
        <w:ind w:right="-61"/>
        <w:rPr>
          <w:rFonts w:ascii="宋体" w:hAnsi="宋体" w:cs="宋体"/>
          <w:b/>
          <w:color w:val="000000"/>
          <w:sz w:val="24"/>
        </w:rPr>
      </w:pPr>
    </w:p>
    <w:p w14:paraId="250BFA9E">
      <w:pPr>
        <w:spacing w:before="120"/>
        <w:ind w:right="-61"/>
        <w:rPr>
          <w:rFonts w:ascii="宋体" w:hAnsi="宋体" w:cs="宋体"/>
          <w:b/>
          <w:color w:val="000000"/>
          <w:sz w:val="24"/>
        </w:rPr>
      </w:pPr>
    </w:p>
    <w:p w14:paraId="3C5C181B">
      <w:pPr>
        <w:spacing w:before="120"/>
        <w:ind w:right="-61"/>
        <w:rPr>
          <w:rFonts w:ascii="宋体" w:hAnsi="宋体" w:cs="宋体"/>
          <w:b/>
          <w:color w:val="000000"/>
          <w:sz w:val="24"/>
        </w:rPr>
      </w:pPr>
    </w:p>
    <w:p w14:paraId="16FEBF61">
      <w:pPr>
        <w:spacing w:before="120"/>
        <w:ind w:right="-61"/>
        <w:rPr>
          <w:rFonts w:ascii="宋体" w:hAnsi="宋体" w:cs="宋体"/>
          <w:b/>
          <w:color w:val="000000"/>
          <w:sz w:val="24"/>
        </w:rPr>
      </w:pPr>
    </w:p>
    <w:p w14:paraId="016D586C">
      <w:pPr>
        <w:numPr>
          <w:ilvl w:val="0"/>
          <w:numId w:val="8"/>
        </w:numPr>
        <w:spacing w:before="120"/>
        <w:ind w:right="-61"/>
        <w:jc w:val="center"/>
        <w:rPr>
          <w:rFonts w:ascii="宋体" w:hAnsi="宋体" w:cs="宋体"/>
          <w:b/>
          <w:color w:val="000000"/>
          <w:sz w:val="30"/>
          <w:szCs w:val="30"/>
        </w:rPr>
      </w:pPr>
      <w:r>
        <w:rPr>
          <w:rFonts w:hint="eastAsia" w:ascii="宋体" w:hAnsi="宋体" w:cs="宋体"/>
          <w:b/>
          <w:color w:val="000000"/>
          <w:sz w:val="30"/>
          <w:szCs w:val="30"/>
        </w:rPr>
        <w:t>项目负责人承诺书</w:t>
      </w:r>
    </w:p>
    <w:p w14:paraId="2F8E0F03">
      <w:pPr>
        <w:numPr>
          <w:ilvl w:val="0"/>
          <w:numId w:val="9"/>
        </w:numPr>
        <w:spacing w:before="120" w:line="360" w:lineRule="auto"/>
        <w:ind w:right="-62"/>
        <w:rPr>
          <w:rFonts w:ascii="宋体" w:hAnsi="宋体" w:cs="宋体"/>
          <w:bCs/>
          <w:color w:val="000000"/>
          <w:sz w:val="24"/>
        </w:rPr>
      </w:pPr>
      <w:r>
        <w:rPr>
          <w:rFonts w:hint="eastAsia" w:ascii="宋体" w:hAnsi="宋体" w:cs="宋体"/>
          <w:bCs/>
          <w:color w:val="000000"/>
          <w:sz w:val="24"/>
        </w:rPr>
        <w:t>本人接受</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项目的资助，将按照《</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项目专项申请书》和本《</w:t>
      </w:r>
      <w:r>
        <w:rPr>
          <w:rFonts w:hint="eastAsia" w:ascii="宋体" w:hAnsi="宋体" w:cs="宋体"/>
          <w:bCs/>
          <w:color w:val="000000"/>
          <w:sz w:val="24"/>
          <w:u w:val="single"/>
        </w:rPr>
        <w:t>中国儿童生长激素长期疗效及安全性评估项目—一项开放、多中心、前瞻性与回顾性的观察性研究</w:t>
      </w:r>
      <w:r>
        <w:rPr>
          <w:rFonts w:hint="eastAsia" w:ascii="宋体" w:hAnsi="宋体" w:cs="宋体"/>
          <w:bCs/>
          <w:color w:val="000000"/>
          <w:sz w:val="24"/>
        </w:rPr>
        <w:t>项目专项合同书》，负责实施本项目，严格遵守</w:t>
      </w:r>
      <w:r>
        <w:rPr>
          <w:rFonts w:hint="eastAsia" w:ascii="宋体" w:hAnsi="宋体" w:cs="宋体"/>
          <w:bCs/>
          <w:color w:val="000000"/>
          <w:sz w:val="24"/>
          <w:u w:val="single"/>
          <w:lang w:val="en-US" w:eastAsia="zh-CN"/>
        </w:rPr>
        <w:t>北京生命绿洲公益服务中心</w:t>
      </w:r>
      <w:r>
        <w:rPr>
          <w:rFonts w:hint="eastAsia" w:ascii="宋体" w:hAnsi="宋体" w:cs="宋体"/>
          <w:bCs/>
          <w:color w:val="000000"/>
          <w:sz w:val="24"/>
        </w:rPr>
        <w:t xml:space="preserve">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p>
    <w:p w14:paraId="013668AD">
      <w:pPr>
        <w:wordWrap w:val="0"/>
        <w:spacing w:before="120" w:line="360" w:lineRule="auto"/>
        <w:ind w:right="-62"/>
        <w:jc w:val="right"/>
        <w:rPr>
          <w:rFonts w:hint="eastAsia" w:ascii="宋体" w:hAnsi="宋体" w:cs="宋体"/>
          <w:bCs/>
          <w:color w:val="000000"/>
          <w:sz w:val="24"/>
        </w:rPr>
      </w:pPr>
      <w:r>
        <w:rPr>
          <w:rFonts w:hint="eastAsia" w:ascii="宋体" w:hAnsi="宋体" w:cs="宋体"/>
          <w:bCs/>
          <w:color w:val="000000"/>
          <w:sz w:val="24"/>
        </w:rPr>
        <w:t xml:space="preserve">                                 </w:t>
      </w:r>
    </w:p>
    <w:p w14:paraId="50732F68">
      <w:pPr>
        <w:wordWrap w:val="0"/>
        <w:spacing w:before="120" w:line="360" w:lineRule="auto"/>
        <w:ind w:right="-62"/>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w:t>
      </w:r>
      <w:r>
        <w:rPr>
          <w:rFonts w:hint="eastAsia" w:ascii="宋体" w:hAnsi="宋体" w:cs="宋体"/>
          <w:bCs/>
          <w:color w:val="000000"/>
          <w:sz w:val="24"/>
        </w:rPr>
        <w:t>项目负责人（签字）：</w:t>
      </w:r>
      <w:r>
        <w:rPr>
          <w:rFonts w:hint="eastAsia" w:ascii="宋体" w:hAnsi="宋体" w:cs="宋体"/>
          <w:bCs/>
          <w:color w:val="000000"/>
          <w:sz w:val="24"/>
          <w:lang w:val="en-US" w:eastAsia="zh-CN"/>
        </w:rPr>
        <w:t xml:space="preserve">  </w:t>
      </w:r>
    </w:p>
    <w:p w14:paraId="164D3BA9">
      <w:pPr>
        <w:wordWrap w:val="0"/>
        <w:spacing w:before="120" w:line="360" w:lineRule="auto"/>
        <w:ind w:right="-62"/>
        <w:jc w:val="center"/>
        <w:rPr>
          <w:rFonts w:hint="default" w:ascii="宋体" w:hAnsi="宋体" w:cs="宋体"/>
          <w:bCs/>
          <w:color w:val="000000"/>
          <w:sz w:val="24"/>
          <w:u w:val="single"/>
          <w:lang w:val="en-US" w:eastAsia="zh-CN"/>
        </w:rPr>
      </w:pPr>
      <w:r>
        <w:rPr>
          <w:rFonts w:hint="eastAsia" w:ascii="宋体" w:hAnsi="宋体" w:cs="宋体"/>
          <w:bCs/>
          <w:color w:val="000000"/>
          <w:sz w:val="24"/>
          <w:lang w:val="en-US" w:eastAsia="zh-CN"/>
        </w:rPr>
        <w:t xml:space="preserve">                        日期：</w:t>
      </w:r>
    </w:p>
    <w:p w14:paraId="1E99052A">
      <w:pPr>
        <w:spacing w:before="120" w:line="360" w:lineRule="auto"/>
        <w:ind w:right="-62"/>
        <w:rPr>
          <w:rFonts w:hint="eastAsia" w:ascii="宋体" w:hAnsi="宋体" w:eastAsia="宋体" w:cs="宋体"/>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 xml:space="preserve">五、经费开支预算  </w:t>
      </w:r>
      <w:r>
        <w:rPr>
          <w:rFonts w:hint="eastAsia" w:ascii="宋体" w:hAnsi="宋体" w:cs="宋体"/>
          <w:b/>
          <w:snapToGrid w:val="0"/>
          <w:color w:val="000000"/>
          <w:spacing w:val="20"/>
          <w:kern w:val="0"/>
          <w:sz w:val="24"/>
        </w:rPr>
        <w:t xml:space="preserve">                             </w:t>
      </w:r>
      <w:r>
        <w:rPr>
          <w:rFonts w:hint="eastAsia" w:ascii="宋体" w:hAnsi="宋体" w:cs="宋体"/>
          <w:b/>
          <w:snapToGrid w:val="0"/>
          <w:color w:val="000000"/>
          <w:spacing w:val="20"/>
          <w:kern w:val="0"/>
          <w:sz w:val="24"/>
          <w:lang w:eastAsia="zh-CN"/>
        </w:rPr>
        <w:t>（</w:t>
      </w:r>
      <w:r>
        <w:rPr>
          <w:rFonts w:hint="eastAsia" w:ascii="宋体" w:hAnsi="宋体" w:cs="宋体"/>
          <w:b/>
          <w:snapToGrid w:val="0"/>
          <w:color w:val="000000"/>
          <w:spacing w:val="20"/>
          <w:kern w:val="0"/>
          <w:sz w:val="24"/>
          <w:lang w:val="en-US" w:eastAsia="zh-CN"/>
        </w:rPr>
        <w:t>单位：元人民币</w:t>
      </w:r>
      <w:r>
        <w:rPr>
          <w:rFonts w:hint="eastAsia" w:ascii="宋体" w:hAnsi="宋体" w:cs="宋体"/>
          <w:b/>
          <w:snapToGrid w:val="0"/>
          <w:color w:val="000000"/>
          <w:spacing w:val="20"/>
          <w:kern w:val="0"/>
          <w:sz w:val="24"/>
          <w:lang w:eastAsia="zh-CN"/>
        </w:rPr>
        <w:t>）</w:t>
      </w:r>
    </w:p>
    <w:tbl>
      <w:tblPr>
        <w:tblStyle w:val="10"/>
        <w:tblpPr w:leftFromText="180" w:rightFromText="180" w:vertAnchor="text" w:horzAnchor="page" w:tblpXSpec="center" w:tblpY="5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16"/>
        <w:gridCol w:w="1210"/>
        <w:gridCol w:w="4047"/>
      </w:tblGrid>
      <w:tr w14:paraId="04D0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tcPr>
          <w:p w14:paraId="01CFD6D6">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科  目</w:t>
            </w:r>
          </w:p>
        </w:tc>
        <w:tc>
          <w:tcPr>
            <w:tcW w:w="1210" w:type="dxa"/>
            <w:shd w:val="clear" w:color="auto" w:fill="auto"/>
          </w:tcPr>
          <w:p w14:paraId="497A9915">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经费</w:t>
            </w:r>
          </w:p>
        </w:tc>
        <w:tc>
          <w:tcPr>
            <w:tcW w:w="4047" w:type="dxa"/>
            <w:shd w:val="clear" w:color="auto" w:fill="auto"/>
          </w:tcPr>
          <w:p w14:paraId="4EAF2E6B">
            <w:pPr>
              <w:adjustRightInd w:val="0"/>
              <w:snapToGrid w:val="0"/>
              <w:spacing w:line="360" w:lineRule="exact"/>
              <w:jc w:val="center"/>
              <w:rPr>
                <w:rFonts w:ascii="宋体" w:hAnsi="宋体" w:cs="宋体"/>
                <w:b/>
                <w:color w:val="000000"/>
                <w:sz w:val="24"/>
              </w:rPr>
            </w:pPr>
            <w:r>
              <w:rPr>
                <w:rFonts w:hint="eastAsia" w:ascii="宋体" w:hAnsi="宋体" w:cs="宋体"/>
                <w:b/>
                <w:color w:val="000000"/>
                <w:sz w:val="24"/>
              </w:rPr>
              <w:t>备注（计算依据和说明）</w:t>
            </w:r>
          </w:p>
        </w:tc>
      </w:tr>
      <w:tr w14:paraId="39CC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tcPr>
          <w:p w14:paraId="68C83677">
            <w:pPr>
              <w:adjustRightInd w:val="0"/>
              <w:snapToGrid w:val="0"/>
              <w:spacing w:line="360" w:lineRule="exact"/>
              <w:rPr>
                <w:rFonts w:ascii="宋体" w:hAnsi="宋体" w:cs="宋体"/>
                <w:b/>
                <w:color w:val="000000"/>
                <w:sz w:val="24"/>
              </w:rPr>
            </w:pPr>
            <w:r>
              <w:rPr>
                <w:rFonts w:hint="eastAsia" w:ascii="宋体" w:hAnsi="宋体" w:cs="宋体"/>
                <w:b/>
                <w:color w:val="000000"/>
                <w:sz w:val="24"/>
              </w:rPr>
              <w:t>一、直接费用</w:t>
            </w:r>
          </w:p>
        </w:tc>
        <w:tc>
          <w:tcPr>
            <w:tcW w:w="1210" w:type="dxa"/>
            <w:shd w:val="clear" w:color="auto" w:fill="auto"/>
          </w:tcPr>
          <w:p w14:paraId="531937BC">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383AC9F5">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77F5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14:paraId="1D3A797B">
            <w:pPr>
              <w:adjustRightInd w:val="0"/>
              <w:snapToGrid w:val="0"/>
              <w:spacing w:line="360" w:lineRule="exact"/>
              <w:rPr>
                <w:rFonts w:ascii="宋体" w:hAnsi="宋体" w:cs="宋体"/>
                <w:color w:val="000000"/>
                <w:sz w:val="24"/>
              </w:rPr>
            </w:pPr>
            <w:r>
              <w:rPr>
                <w:rFonts w:hint="eastAsia" w:ascii="宋体" w:hAnsi="宋体" w:cs="宋体"/>
                <w:color w:val="000000"/>
                <w:sz w:val="24"/>
              </w:rPr>
              <w:t>1、设备费</w:t>
            </w:r>
          </w:p>
        </w:tc>
        <w:tc>
          <w:tcPr>
            <w:tcW w:w="1210" w:type="dxa"/>
            <w:shd w:val="clear" w:color="auto" w:fill="auto"/>
          </w:tcPr>
          <w:p w14:paraId="3AF4EEFF">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3CF784B9">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6382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6" w:type="dxa"/>
            <w:shd w:val="clear" w:color="auto" w:fill="auto"/>
            <w:vAlign w:val="center"/>
          </w:tcPr>
          <w:p w14:paraId="13CA37B8">
            <w:pPr>
              <w:adjustRightInd w:val="0"/>
              <w:snapToGrid w:val="0"/>
              <w:spacing w:line="360" w:lineRule="exact"/>
              <w:rPr>
                <w:rFonts w:ascii="宋体" w:hAnsi="宋体" w:cs="宋体"/>
                <w:color w:val="000000"/>
                <w:sz w:val="24"/>
              </w:rPr>
            </w:pPr>
            <w:r>
              <w:rPr>
                <w:rFonts w:hint="eastAsia" w:ascii="宋体" w:hAnsi="宋体" w:cs="宋体"/>
                <w:color w:val="000000"/>
                <w:sz w:val="24"/>
              </w:rPr>
              <w:t>(1)设备购置费（5万元以下）</w:t>
            </w:r>
          </w:p>
        </w:tc>
        <w:tc>
          <w:tcPr>
            <w:tcW w:w="1210" w:type="dxa"/>
            <w:shd w:val="clear" w:color="auto" w:fill="auto"/>
          </w:tcPr>
          <w:p w14:paraId="1DED91AE">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04ADED9F">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3759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vAlign w:val="center"/>
          </w:tcPr>
          <w:p w14:paraId="17771B18">
            <w:pPr>
              <w:adjustRightInd w:val="0"/>
              <w:snapToGrid w:val="0"/>
              <w:spacing w:line="360" w:lineRule="exact"/>
              <w:rPr>
                <w:rFonts w:ascii="宋体" w:hAnsi="宋体" w:cs="宋体"/>
                <w:color w:val="000000"/>
                <w:sz w:val="24"/>
              </w:rPr>
            </w:pPr>
            <w:r>
              <w:rPr>
                <w:rFonts w:hint="eastAsia" w:ascii="宋体" w:hAnsi="宋体" w:cs="宋体"/>
                <w:color w:val="000000"/>
                <w:sz w:val="24"/>
              </w:rPr>
              <w:t>(2) 设备租赁费</w:t>
            </w:r>
          </w:p>
        </w:tc>
        <w:tc>
          <w:tcPr>
            <w:tcW w:w="1210" w:type="dxa"/>
            <w:shd w:val="clear" w:color="auto" w:fill="auto"/>
          </w:tcPr>
          <w:p w14:paraId="4002B167">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023479D1">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4ED3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vAlign w:val="center"/>
          </w:tcPr>
          <w:p w14:paraId="305A4528">
            <w:pPr>
              <w:adjustRightInd w:val="0"/>
              <w:snapToGrid w:val="0"/>
              <w:spacing w:line="360" w:lineRule="exact"/>
              <w:rPr>
                <w:rFonts w:ascii="宋体" w:hAnsi="宋体" w:cs="宋体"/>
                <w:color w:val="000000"/>
                <w:sz w:val="24"/>
              </w:rPr>
            </w:pPr>
            <w:r>
              <w:rPr>
                <w:rFonts w:hint="eastAsia" w:ascii="宋体" w:hAnsi="宋体" w:cs="宋体"/>
                <w:color w:val="000000"/>
                <w:sz w:val="24"/>
              </w:rPr>
              <w:t>2、材料费</w:t>
            </w:r>
          </w:p>
        </w:tc>
        <w:tc>
          <w:tcPr>
            <w:tcW w:w="1210" w:type="dxa"/>
            <w:shd w:val="clear" w:color="auto" w:fill="auto"/>
          </w:tcPr>
          <w:p w14:paraId="585AB9DE">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4370B023">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386D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14:paraId="5CCD9D26">
            <w:pPr>
              <w:adjustRightInd w:val="0"/>
              <w:snapToGrid w:val="0"/>
              <w:spacing w:line="360" w:lineRule="exact"/>
              <w:rPr>
                <w:rFonts w:ascii="宋体" w:hAnsi="宋体" w:cs="宋体"/>
                <w:color w:val="000000"/>
                <w:sz w:val="24"/>
              </w:rPr>
            </w:pPr>
            <w:r>
              <w:rPr>
                <w:rFonts w:hint="eastAsia" w:ascii="宋体" w:hAnsi="宋体" w:cs="宋体"/>
                <w:color w:val="000000"/>
                <w:sz w:val="24"/>
              </w:rPr>
              <w:t>3、测试化验加工费</w:t>
            </w:r>
          </w:p>
        </w:tc>
        <w:tc>
          <w:tcPr>
            <w:tcW w:w="1210" w:type="dxa"/>
            <w:shd w:val="clear" w:color="auto" w:fill="auto"/>
          </w:tcPr>
          <w:p w14:paraId="18E2D652">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58BA7F27">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2B00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vAlign w:val="center"/>
          </w:tcPr>
          <w:p w14:paraId="707799EF">
            <w:pPr>
              <w:adjustRightInd w:val="0"/>
              <w:snapToGrid w:val="0"/>
              <w:spacing w:line="360" w:lineRule="exact"/>
              <w:rPr>
                <w:rFonts w:ascii="宋体" w:hAnsi="宋体" w:cs="宋体"/>
                <w:color w:val="000000"/>
                <w:sz w:val="24"/>
              </w:rPr>
            </w:pPr>
            <w:r>
              <w:rPr>
                <w:rFonts w:hint="eastAsia" w:ascii="宋体" w:hAnsi="宋体" w:cs="宋体"/>
                <w:color w:val="000000"/>
                <w:sz w:val="24"/>
              </w:rPr>
              <w:t>4、燃料动力费</w:t>
            </w:r>
          </w:p>
        </w:tc>
        <w:tc>
          <w:tcPr>
            <w:tcW w:w="1210" w:type="dxa"/>
            <w:shd w:val="clear" w:color="auto" w:fill="auto"/>
          </w:tcPr>
          <w:p w14:paraId="381AF7FD">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4C6D0B9B">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315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14:paraId="3B0259E5">
            <w:pPr>
              <w:adjustRightInd w:val="0"/>
              <w:snapToGrid w:val="0"/>
              <w:spacing w:line="360" w:lineRule="exact"/>
              <w:rPr>
                <w:rFonts w:ascii="宋体" w:hAnsi="宋体" w:cs="宋体"/>
                <w:color w:val="000000"/>
                <w:sz w:val="24"/>
              </w:rPr>
            </w:pPr>
            <w:r>
              <w:rPr>
                <w:rFonts w:hint="eastAsia" w:ascii="宋体" w:hAnsi="宋体" w:cs="宋体"/>
                <w:color w:val="000000"/>
                <w:sz w:val="24"/>
              </w:rPr>
              <w:t>5、差旅费</w:t>
            </w:r>
          </w:p>
        </w:tc>
        <w:tc>
          <w:tcPr>
            <w:tcW w:w="1210" w:type="dxa"/>
            <w:shd w:val="clear" w:color="auto" w:fill="auto"/>
          </w:tcPr>
          <w:p w14:paraId="07B4068B">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208EC2B7">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032D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14:paraId="3AEFCE51">
            <w:pPr>
              <w:adjustRightInd w:val="0"/>
              <w:snapToGrid w:val="0"/>
              <w:spacing w:line="360" w:lineRule="exact"/>
              <w:rPr>
                <w:rFonts w:ascii="宋体" w:hAnsi="宋体" w:cs="宋体"/>
                <w:color w:val="000000"/>
                <w:sz w:val="24"/>
              </w:rPr>
            </w:pPr>
            <w:r>
              <w:rPr>
                <w:rFonts w:hint="eastAsia" w:ascii="宋体" w:hAnsi="宋体" w:cs="宋体"/>
                <w:color w:val="000000"/>
                <w:sz w:val="24"/>
              </w:rPr>
              <w:t>6、会议费</w:t>
            </w:r>
          </w:p>
        </w:tc>
        <w:tc>
          <w:tcPr>
            <w:tcW w:w="1210" w:type="dxa"/>
            <w:shd w:val="clear" w:color="auto" w:fill="auto"/>
          </w:tcPr>
          <w:p w14:paraId="74F946B4">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100F3069">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362E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3816" w:type="dxa"/>
            <w:shd w:val="clear" w:color="auto" w:fill="auto"/>
            <w:vAlign w:val="center"/>
          </w:tcPr>
          <w:p w14:paraId="4CA97E2B">
            <w:pPr>
              <w:adjustRightInd w:val="0"/>
              <w:snapToGrid w:val="0"/>
              <w:spacing w:line="360" w:lineRule="exact"/>
              <w:rPr>
                <w:rFonts w:ascii="宋体" w:hAnsi="宋体" w:cs="宋体"/>
                <w:color w:val="000000"/>
                <w:sz w:val="24"/>
              </w:rPr>
            </w:pPr>
            <w:r>
              <w:rPr>
                <w:rFonts w:hint="eastAsia" w:ascii="宋体" w:hAnsi="宋体" w:cs="宋体"/>
                <w:color w:val="000000"/>
                <w:sz w:val="24"/>
              </w:rPr>
              <w:t>7、国际合作与交流费</w:t>
            </w:r>
          </w:p>
        </w:tc>
        <w:tc>
          <w:tcPr>
            <w:tcW w:w="1210" w:type="dxa"/>
            <w:shd w:val="clear" w:color="auto" w:fill="auto"/>
          </w:tcPr>
          <w:p w14:paraId="4B9E8BA9">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5BC2FDA1">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3D9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3816" w:type="dxa"/>
            <w:shd w:val="clear" w:color="auto" w:fill="auto"/>
            <w:vAlign w:val="center"/>
          </w:tcPr>
          <w:p w14:paraId="199EA36B">
            <w:pPr>
              <w:numPr>
                <w:ilvl w:val="0"/>
                <w:numId w:val="10"/>
              </w:numPr>
              <w:adjustRightInd w:val="0"/>
              <w:snapToGrid w:val="0"/>
              <w:spacing w:line="360" w:lineRule="exact"/>
              <w:rPr>
                <w:rFonts w:ascii="宋体" w:hAnsi="宋体" w:cs="宋体"/>
                <w:color w:val="000000"/>
                <w:sz w:val="24"/>
              </w:rPr>
            </w:pPr>
            <w:r>
              <w:rPr>
                <w:rFonts w:hint="eastAsia" w:ascii="宋体" w:hAnsi="宋体" w:cs="宋体"/>
                <w:color w:val="000000"/>
                <w:sz w:val="24"/>
              </w:rPr>
              <w:t>档案/出版/文献/信息传播/知识产权事务费</w:t>
            </w:r>
          </w:p>
        </w:tc>
        <w:tc>
          <w:tcPr>
            <w:tcW w:w="1210" w:type="dxa"/>
            <w:shd w:val="clear" w:color="auto" w:fill="auto"/>
          </w:tcPr>
          <w:p w14:paraId="3656947B">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3FC68576">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04CA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14:paraId="675729C1">
            <w:pPr>
              <w:adjustRightInd w:val="0"/>
              <w:snapToGrid w:val="0"/>
              <w:spacing w:line="360" w:lineRule="exact"/>
              <w:rPr>
                <w:rFonts w:hint="eastAsia" w:ascii="宋体" w:hAnsi="宋体" w:eastAsia="宋体" w:cs="宋体"/>
                <w:color w:val="000000"/>
                <w:sz w:val="24"/>
                <w:lang w:eastAsia="zh-CN"/>
              </w:rPr>
            </w:pPr>
            <w:r>
              <w:rPr>
                <w:rFonts w:hint="eastAsia" w:ascii="宋体" w:hAnsi="宋体" w:cs="宋体"/>
                <w:color w:val="000000"/>
                <w:sz w:val="24"/>
              </w:rPr>
              <w:t>9、</w:t>
            </w:r>
            <w:r>
              <w:rPr>
                <w:rFonts w:hint="eastAsia" w:ascii="宋体" w:hAnsi="宋体" w:cs="宋体"/>
                <w:color w:val="000000"/>
                <w:sz w:val="24"/>
                <w:lang w:val="en-US" w:eastAsia="zh-CN"/>
              </w:rPr>
              <w:t>研究观察费</w:t>
            </w:r>
          </w:p>
        </w:tc>
        <w:tc>
          <w:tcPr>
            <w:tcW w:w="1210" w:type="dxa"/>
            <w:shd w:val="clear" w:color="auto" w:fill="auto"/>
            <w:vAlign w:val="top"/>
          </w:tcPr>
          <w:p w14:paraId="25F59C09">
            <w:pPr>
              <w:adjustRightInd w:val="0"/>
              <w:snapToGrid w:val="0"/>
              <w:spacing w:line="360" w:lineRule="exact"/>
              <w:rPr>
                <w:rFonts w:hint="default" w:ascii="宋体" w:hAnsi="宋体" w:eastAsia="宋体" w:cs="宋体"/>
                <w:color w:val="000000"/>
                <w:sz w:val="24"/>
                <w:lang w:val="en-US" w:eastAsia="zh-CN"/>
              </w:rPr>
            </w:pPr>
          </w:p>
        </w:tc>
        <w:tc>
          <w:tcPr>
            <w:tcW w:w="4047" w:type="dxa"/>
            <w:shd w:val="clear" w:color="auto" w:fill="auto"/>
            <w:vAlign w:val="top"/>
          </w:tcPr>
          <w:p w14:paraId="372BD3A7">
            <w:pPr>
              <w:adjustRightInd w:val="0"/>
              <w:snapToGrid w:val="0"/>
              <w:spacing w:line="360" w:lineRule="exact"/>
              <w:rPr>
                <w:rFonts w:ascii="宋体" w:hAnsi="宋体" w:cs="宋体"/>
                <w:color w:val="000000"/>
                <w:sz w:val="24"/>
              </w:rPr>
            </w:pPr>
          </w:p>
        </w:tc>
      </w:tr>
      <w:tr w14:paraId="552C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816" w:type="dxa"/>
            <w:shd w:val="clear" w:color="auto" w:fill="auto"/>
            <w:vAlign w:val="center"/>
          </w:tcPr>
          <w:p w14:paraId="17D7CE7B">
            <w:pPr>
              <w:adjustRightInd w:val="0"/>
              <w:snapToGrid w:val="0"/>
              <w:spacing w:line="360" w:lineRule="exact"/>
              <w:rPr>
                <w:rFonts w:ascii="宋体" w:hAnsi="宋体" w:cs="宋体"/>
                <w:color w:val="000000"/>
                <w:sz w:val="24"/>
              </w:rPr>
            </w:pPr>
            <w:r>
              <w:rPr>
                <w:rFonts w:hint="eastAsia" w:ascii="宋体" w:hAnsi="宋体" w:cs="宋体"/>
                <w:color w:val="000000"/>
                <w:sz w:val="24"/>
              </w:rPr>
              <w:t>10、咨询费</w:t>
            </w:r>
          </w:p>
        </w:tc>
        <w:tc>
          <w:tcPr>
            <w:tcW w:w="1210" w:type="dxa"/>
            <w:shd w:val="clear" w:color="auto" w:fill="auto"/>
            <w:vAlign w:val="top"/>
          </w:tcPr>
          <w:p w14:paraId="75C6341A">
            <w:pPr>
              <w:adjustRightInd w:val="0"/>
              <w:snapToGrid w:val="0"/>
              <w:spacing w:line="360" w:lineRule="exact"/>
              <w:rPr>
                <w:rFonts w:ascii="宋体" w:hAnsi="宋体" w:cs="宋体"/>
                <w:color w:val="000000"/>
                <w:sz w:val="24"/>
              </w:rPr>
            </w:pPr>
            <w:r>
              <w:rPr>
                <w:rFonts w:ascii="宋体" w:hAnsi="宋体" w:cs="宋体"/>
                <w:color w:val="000000"/>
                <w:sz w:val="24"/>
              </w:rPr>
              <w:t>/</w:t>
            </w:r>
          </w:p>
        </w:tc>
        <w:tc>
          <w:tcPr>
            <w:tcW w:w="4047" w:type="dxa"/>
            <w:shd w:val="clear" w:color="auto" w:fill="auto"/>
            <w:vAlign w:val="top"/>
          </w:tcPr>
          <w:p w14:paraId="74CA0867">
            <w:pPr>
              <w:adjustRightInd w:val="0"/>
              <w:snapToGrid w:val="0"/>
              <w:spacing w:line="360" w:lineRule="exact"/>
              <w:rPr>
                <w:rFonts w:ascii="宋体" w:hAnsi="宋体" w:cs="宋体"/>
                <w:color w:val="000000"/>
                <w:sz w:val="24"/>
              </w:rPr>
            </w:pPr>
            <w:r>
              <w:rPr>
                <w:rFonts w:ascii="宋体" w:hAnsi="宋体" w:cs="宋体"/>
                <w:color w:val="000000"/>
                <w:sz w:val="24"/>
              </w:rPr>
              <w:t>/</w:t>
            </w:r>
          </w:p>
        </w:tc>
      </w:tr>
      <w:tr w14:paraId="2097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6" w:type="dxa"/>
            <w:shd w:val="clear" w:color="auto" w:fill="auto"/>
            <w:vAlign w:val="center"/>
          </w:tcPr>
          <w:p w14:paraId="4069F3BB">
            <w:pPr>
              <w:adjustRightInd w:val="0"/>
              <w:snapToGrid w:val="0"/>
              <w:spacing w:line="360" w:lineRule="exact"/>
              <w:rPr>
                <w:rFonts w:ascii="宋体" w:hAnsi="宋体" w:cs="宋体"/>
                <w:color w:val="000000"/>
                <w:sz w:val="24"/>
              </w:rPr>
            </w:pPr>
            <w:r>
              <w:rPr>
                <w:rFonts w:hint="eastAsia" w:ascii="宋体" w:hAnsi="宋体" w:cs="宋体"/>
                <w:color w:val="000000"/>
                <w:sz w:val="24"/>
              </w:rPr>
              <w:t>11、交通补贴费</w:t>
            </w:r>
          </w:p>
        </w:tc>
        <w:tc>
          <w:tcPr>
            <w:tcW w:w="1210" w:type="dxa"/>
            <w:shd w:val="clear" w:color="auto" w:fill="auto"/>
            <w:vAlign w:val="top"/>
          </w:tcPr>
          <w:p w14:paraId="21895207">
            <w:pPr>
              <w:adjustRightInd w:val="0"/>
              <w:snapToGrid w:val="0"/>
              <w:spacing w:line="360" w:lineRule="exact"/>
              <w:rPr>
                <w:rFonts w:hint="default" w:ascii="宋体" w:hAnsi="宋体" w:eastAsia="宋体" w:cs="宋体"/>
                <w:color w:val="000000"/>
                <w:sz w:val="24"/>
                <w:lang w:val="en-US" w:eastAsia="zh-CN"/>
              </w:rPr>
            </w:pPr>
          </w:p>
        </w:tc>
        <w:tc>
          <w:tcPr>
            <w:tcW w:w="4047" w:type="dxa"/>
            <w:shd w:val="clear" w:color="auto" w:fill="auto"/>
            <w:vAlign w:val="top"/>
          </w:tcPr>
          <w:p w14:paraId="74B745BA">
            <w:pPr>
              <w:adjustRightInd w:val="0"/>
              <w:snapToGrid w:val="0"/>
              <w:spacing w:line="360" w:lineRule="exact"/>
              <w:rPr>
                <w:rFonts w:ascii="宋体" w:hAnsi="宋体" w:cs="宋体"/>
                <w:color w:val="000000"/>
                <w:sz w:val="24"/>
              </w:rPr>
            </w:pPr>
          </w:p>
        </w:tc>
      </w:tr>
      <w:tr w14:paraId="7B84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816" w:type="dxa"/>
            <w:shd w:val="clear" w:color="auto" w:fill="auto"/>
            <w:vAlign w:val="center"/>
          </w:tcPr>
          <w:p w14:paraId="79111B95">
            <w:pPr>
              <w:adjustRightInd w:val="0"/>
              <w:snapToGrid w:val="0"/>
              <w:spacing w:line="360" w:lineRule="exact"/>
              <w:rPr>
                <w:rFonts w:ascii="宋体" w:hAnsi="宋体" w:cs="宋体"/>
                <w:color w:val="000000"/>
                <w:sz w:val="24"/>
                <w:highlight w:val="none"/>
              </w:rPr>
            </w:pPr>
            <w:r>
              <w:rPr>
                <w:rFonts w:hint="eastAsia" w:ascii="宋体" w:hAnsi="宋体" w:cs="宋体"/>
                <w:color w:val="000000"/>
                <w:sz w:val="24"/>
                <w:highlight w:val="none"/>
              </w:rPr>
              <w:t>12、伦理费</w:t>
            </w:r>
          </w:p>
        </w:tc>
        <w:tc>
          <w:tcPr>
            <w:tcW w:w="1210" w:type="dxa"/>
            <w:shd w:val="clear" w:color="auto" w:fill="auto"/>
          </w:tcPr>
          <w:p w14:paraId="56855D2A">
            <w:pPr>
              <w:adjustRightInd w:val="0"/>
              <w:snapToGrid w:val="0"/>
              <w:spacing w:line="360" w:lineRule="exact"/>
              <w:rPr>
                <w:rFonts w:hint="default" w:ascii="宋体" w:hAnsi="宋体" w:eastAsia="宋体" w:cs="宋体"/>
                <w:color w:val="000000"/>
                <w:sz w:val="24"/>
                <w:highlight w:val="none"/>
                <w:lang w:val="en-US" w:eastAsia="zh-CN"/>
              </w:rPr>
            </w:pPr>
          </w:p>
        </w:tc>
        <w:tc>
          <w:tcPr>
            <w:tcW w:w="4047" w:type="dxa"/>
            <w:shd w:val="clear" w:color="auto" w:fill="auto"/>
          </w:tcPr>
          <w:p w14:paraId="6CCCECAB">
            <w:pPr>
              <w:adjustRightInd w:val="0"/>
              <w:snapToGrid w:val="0"/>
              <w:spacing w:line="360" w:lineRule="exact"/>
              <w:rPr>
                <w:rFonts w:hint="default" w:ascii="宋体" w:hAnsi="宋体" w:eastAsia="宋体" w:cs="宋体"/>
                <w:color w:val="000000"/>
                <w:sz w:val="24"/>
                <w:highlight w:val="none"/>
                <w:lang w:val="en-US" w:eastAsia="zh-CN"/>
              </w:rPr>
            </w:pPr>
          </w:p>
        </w:tc>
      </w:tr>
      <w:tr w14:paraId="6A97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6" w:type="dxa"/>
            <w:shd w:val="clear" w:color="auto" w:fill="auto"/>
            <w:vAlign w:val="center"/>
          </w:tcPr>
          <w:p w14:paraId="7DC0D4EA">
            <w:pPr>
              <w:adjustRightInd w:val="0"/>
              <w:snapToGrid w:val="0"/>
              <w:spacing w:line="360" w:lineRule="exact"/>
              <w:rPr>
                <w:rFonts w:ascii="宋体" w:hAnsi="宋体" w:cs="宋体"/>
                <w:color w:val="000000"/>
                <w:sz w:val="24"/>
              </w:rPr>
            </w:pPr>
            <w:r>
              <w:rPr>
                <w:rFonts w:hint="eastAsia" w:ascii="宋体" w:hAnsi="宋体" w:cs="宋体"/>
                <w:color w:val="000000"/>
                <w:sz w:val="24"/>
              </w:rPr>
              <w:t>13、数据库服务费用</w:t>
            </w:r>
          </w:p>
        </w:tc>
        <w:tc>
          <w:tcPr>
            <w:tcW w:w="1210" w:type="dxa"/>
            <w:shd w:val="clear" w:color="auto" w:fill="auto"/>
          </w:tcPr>
          <w:p w14:paraId="4FE35FFB">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0C9C8A9D">
            <w:pPr>
              <w:adjustRightInd w:val="0"/>
              <w:snapToGrid w:val="0"/>
              <w:spacing w:line="360" w:lineRule="exact"/>
              <w:rPr>
                <w:rFonts w:ascii="宋体" w:hAnsi="宋体" w:cs="宋体"/>
                <w:b w:val="0"/>
                <w:bCs w:val="0"/>
                <w:color w:val="000000"/>
                <w:sz w:val="24"/>
              </w:rPr>
            </w:pPr>
            <w:r>
              <w:rPr>
                <w:rFonts w:ascii="宋体" w:hAnsi="宋体" w:cs="宋体"/>
                <w:b w:val="0"/>
                <w:bCs w:val="0"/>
                <w:color w:val="000000"/>
                <w:sz w:val="24"/>
              </w:rPr>
              <w:t>/</w:t>
            </w:r>
          </w:p>
        </w:tc>
      </w:tr>
      <w:tr w14:paraId="5DB3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3816" w:type="dxa"/>
            <w:shd w:val="clear" w:color="auto" w:fill="auto"/>
            <w:vAlign w:val="center"/>
          </w:tcPr>
          <w:p w14:paraId="40172580">
            <w:pPr>
              <w:adjustRightInd w:val="0"/>
              <w:snapToGrid w:val="0"/>
              <w:spacing w:line="360" w:lineRule="exact"/>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14、项目立项费用</w:t>
            </w:r>
          </w:p>
        </w:tc>
        <w:tc>
          <w:tcPr>
            <w:tcW w:w="1210" w:type="dxa"/>
            <w:shd w:val="clear" w:color="auto" w:fill="auto"/>
          </w:tcPr>
          <w:p w14:paraId="4DB4B51F">
            <w:pPr>
              <w:adjustRightInd w:val="0"/>
              <w:snapToGrid w:val="0"/>
              <w:spacing w:line="360" w:lineRule="exact"/>
              <w:rPr>
                <w:rFonts w:hint="default" w:ascii="宋体" w:hAnsi="宋体" w:eastAsia="宋体" w:cs="宋体"/>
                <w:b w:val="0"/>
                <w:bCs w:val="0"/>
                <w:color w:val="000000"/>
                <w:sz w:val="24"/>
                <w:lang w:val="en-US" w:eastAsia="zh-CN"/>
              </w:rPr>
            </w:pPr>
            <w:r>
              <w:rPr>
                <w:rFonts w:hint="eastAsia" w:ascii="宋体" w:hAnsi="宋体" w:cs="宋体"/>
                <w:b w:val="0"/>
                <w:bCs w:val="0"/>
                <w:color w:val="000000"/>
                <w:sz w:val="24"/>
                <w:lang w:val="en-US" w:eastAsia="zh-CN"/>
              </w:rPr>
              <w:t>/</w:t>
            </w:r>
          </w:p>
        </w:tc>
        <w:tc>
          <w:tcPr>
            <w:tcW w:w="4047" w:type="dxa"/>
            <w:shd w:val="clear" w:color="auto" w:fill="auto"/>
          </w:tcPr>
          <w:p w14:paraId="297E8497">
            <w:pPr>
              <w:adjustRightInd w:val="0"/>
              <w:snapToGrid w:val="0"/>
              <w:spacing w:line="360" w:lineRule="exact"/>
              <w:rPr>
                <w:rFonts w:ascii="宋体" w:hAnsi="宋体" w:cs="宋体"/>
                <w:b w:val="0"/>
                <w:bCs w:val="0"/>
                <w:color w:val="000000"/>
                <w:sz w:val="24"/>
              </w:rPr>
            </w:pPr>
          </w:p>
        </w:tc>
      </w:tr>
      <w:tr w14:paraId="3EA5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jc w:val="center"/>
        </w:trPr>
        <w:tc>
          <w:tcPr>
            <w:tcW w:w="3816" w:type="dxa"/>
            <w:shd w:val="clear" w:color="auto" w:fill="auto"/>
            <w:vAlign w:val="center"/>
          </w:tcPr>
          <w:p w14:paraId="3FC8C2C0">
            <w:pPr>
              <w:adjustRightInd w:val="0"/>
              <w:snapToGrid w:val="0"/>
              <w:spacing w:line="360" w:lineRule="exact"/>
              <w:rPr>
                <w:rFonts w:ascii="宋体" w:hAnsi="宋体" w:cs="宋体"/>
                <w:b/>
                <w:color w:val="000000"/>
                <w:sz w:val="24"/>
              </w:rPr>
            </w:pPr>
            <w:r>
              <w:rPr>
                <w:rFonts w:hint="eastAsia" w:ascii="宋体" w:hAnsi="宋体" w:cs="宋体"/>
                <w:b/>
                <w:color w:val="000000"/>
                <w:sz w:val="24"/>
              </w:rPr>
              <w:t>二、间接费用</w:t>
            </w:r>
          </w:p>
          <w:p w14:paraId="629EC65E">
            <w:pPr>
              <w:adjustRightInd w:val="0"/>
              <w:snapToGrid w:val="0"/>
              <w:spacing w:line="360" w:lineRule="exact"/>
              <w:rPr>
                <w:rFonts w:ascii="宋体" w:hAnsi="宋体" w:cs="宋体"/>
                <w:b/>
                <w:color w:val="000000"/>
                <w:sz w:val="24"/>
              </w:rPr>
            </w:pPr>
            <w:r>
              <w:rPr>
                <w:rFonts w:hint="eastAsia" w:ascii="宋体" w:hAnsi="宋体" w:cs="宋体"/>
                <w:color w:val="000000"/>
                <w:sz w:val="24"/>
              </w:rPr>
              <w:t>（不超过直接费用扣除设备购置费后的20%核定）</w:t>
            </w:r>
          </w:p>
        </w:tc>
        <w:tc>
          <w:tcPr>
            <w:tcW w:w="1210" w:type="dxa"/>
            <w:shd w:val="clear" w:color="auto" w:fill="auto"/>
          </w:tcPr>
          <w:p w14:paraId="0B708C1E">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c>
          <w:tcPr>
            <w:tcW w:w="4047" w:type="dxa"/>
            <w:shd w:val="clear" w:color="auto" w:fill="auto"/>
          </w:tcPr>
          <w:p w14:paraId="5899AC7E">
            <w:pPr>
              <w:adjustRightInd w:val="0"/>
              <w:snapToGrid w:val="0"/>
              <w:spacing w:line="360" w:lineRule="exact"/>
              <w:rPr>
                <w:rFonts w:ascii="宋体" w:hAnsi="宋体" w:cs="宋体"/>
                <w:color w:val="000000"/>
                <w:sz w:val="24"/>
              </w:rPr>
            </w:pPr>
            <w:r>
              <w:rPr>
                <w:rFonts w:ascii="宋体" w:hAnsi="宋体" w:cs="宋体"/>
                <w:b w:val="0"/>
                <w:bCs w:val="0"/>
                <w:color w:val="000000"/>
                <w:sz w:val="24"/>
              </w:rPr>
              <w:t>/</w:t>
            </w:r>
          </w:p>
        </w:tc>
      </w:tr>
      <w:tr w14:paraId="600C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jc w:val="center"/>
        </w:trPr>
        <w:tc>
          <w:tcPr>
            <w:tcW w:w="3816" w:type="dxa"/>
            <w:shd w:val="clear" w:color="auto" w:fill="auto"/>
            <w:vAlign w:val="center"/>
          </w:tcPr>
          <w:p w14:paraId="64675706">
            <w:pPr>
              <w:adjustRightInd w:val="0"/>
              <w:snapToGrid w:val="0"/>
              <w:spacing w:line="360" w:lineRule="exact"/>
              <w:jc w:val="both"/>
              <w:rPr>
                <w:rFonts w:ascii="宋体" w:hAnsi="宋体" w:cs="宋体"/>
                <w:color w:val="000000"/>
                <w:sz w:val="24"/>
              </w:rPr>
            </w:pPr>
            <w:r>
              <w:rPr>
                <w:rFonts w:hint="eastAsia" w:ascii="宋体" w:hAnsi="宋体" w:cs="宋体"/>
                <w:color w:val="000000"/>
                <w:sz w:val="24"/>
              </w:rPr>
              <w:t>管理费</w:t>
            </w:r>
          </w:p>
        </w:tc>
        <w:tc>
          <w:tcPr>
            <w:tcW w:w="1210" w:type="dxa"/>
            <w:shd w:val="clear" w:color="auto" w:fill="auto"/>
            <w:vAlign w:val="center"/>
          </w:tcPr>
          <w:p w14:paraId="44067341">
            <w:pPr>
              <w:adjustRightInd w:val="0"/>
              <w:snapToGrid w:val="0"/>
              <w:spacing w:line="360" w:lineRule="exact"/>
              <w:jc w:val="both"/>
              <w:rPr>
                <w:rFonts w:hint="default" w:ascii="宋体" w:hAnsi="宋体" w:eastAsia="宋体" w:cs="宋体"/>
                <w:b w:val="0"/>
                <w:bCs w:val="0"/>
                <w:color w:val="000000"/>
                <w:sz w:val="24"/>
                <w:lang w:val="en-US" w:eastAsia="zh-CN"/>
              </w:rPr>
            </w:pPr>
          </w:p>
        </w:tc>
        <w:tc>
          <w:tcPr>
            <w:tcW w:w="4047" w:type="dxa"/>
            <w:shd w:val="clear" w:color="auto" w:fill="auto"/>
            <w:vAlign w:val="center"/>
          </w:tcPr>
          <w:p w14:paraId="5ABD869D">
            <w:pPr>
              <w:adjustRightInd w:val="0"/>
              <w:snapToGrid w:val="0"/>
              <w:spacing w:line="360" w:lineRule="exact"/>
              <w:jc w:val="both"/>
              <w:rPr>
                <w:rFonts w:hint="eastAsia" w:ascii="宋体" w:hAnsi="宋体" w:eastAsia="宋体" w:cs="宋体"/>
                <w:b w:val="0"/>
                <w:bCs w:val="0"/>
                <w:color w:val="000000"/>
                <w:sz w:val="24"/>
                <w:lang w:val="en-US" w:eastAsia="zh-CN"/>
              </w:rPr>
            </w:pPr>
          </w:p>
        </w:tc>
      </w:tr>
      <w:tr w14:paraId="4FCA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jc w:val="center"/>
        </w:trPr>
        <w:tc>
          <w:tcPr>
            <w:tcW w:w="3816" w:type="dxa"/>
            <w:shd w:val="clear" w:color="auto" w:fill="auto"/>
            <w:vAlign w:val="center"/>
          </w:tcPr>
          <w:p w14:paraId="07A715FC">
            <w:pPr>
              <w:adjustRightInd w:val="0"/>
              <w:snapToGrid w:val="0"/>
              <w:spacing w:line="360" w:lineRule="exact"/>
              <w:jc w:val="both"/>
              <w:rPr>
                <w:rFonts w:ascii="宋体" w:hAnsi="宋体" w:cs="宋体"/>
                <w:color w:val="000000"/>
                <w:sz w:val="24"/>
              </w:rPr>
            </w:pPr>
            <w:r>
              <w:rPr>
                <w:rFonts w:hint="eastAsia" w:ascii="宋体" w:hAnsi="宋体" w:cs="宋体"/>
                <w:color w:val="000000"/>
                <w:sz w:val="24"/>
              </w:rPr>
              <w:t>税费</w:t>
            </w:r>
          </w:p>
        </w:tc>
        <w:tc>
          <w:tcPr>
            <w:tcW w:w="1210" w:type="dxa"/>
            <w:shd w:val="clear" w:color="auto" w:fill="auto"/>
            <w:vAlign w:val="center"/>
          </w:tcPr>
          <w:p w14:paraId="3AFAA028">
            <w:pPr>
              <w:adjustRightInd w:val="0"/>
              <w:snapToGrid w:val="0"/>
              <w:spacing w:line="360" w:lineRule="exact"/>
              <w:jc w:val="both"/>
              <w:rPr>
                <w:rFonts w:hint="default" w:ascii="宋体" w:hAnsi="宋体" w:eastAsia="宋体" w:cs="宋体"/>
                <w:b w:val="0"/>
                <w:bCs w:val="0"/>
                <w:color w:val="000000"/>
                <w:sz w:val="24"/>
                <w:lang w:val="en-US" w:eastAsia="zh-CN"/>
              </w:rPr>
            </w:pPr>
          </w:p>
        </w:tc>
        <w:tc>
          <w:tcPr>
            <w:tcW w:w="4047" w:type="dxa"/>
            <w:shd w:val="clear" w:color="auto" w:fill="auto"/>
            <w:vAlign w:val="center"/>
          </w:tcPr>
          <w:p w14:paraId="794A1B82">
            <w:pPr>
              <w:adjustRightInd w:val="0"/>
              <w:snapToGrid w:val="0"/>
              <w:spacing w:line="360" w:lineRule="exact"/>
              <w:jc w:val="both"/>
              <w:rPr>
                <w:rFonts w:hint="default" w:ascii="宋体" w:hAnsi="宋体" w:cs="宋体"/>
                <w:b w:val="0"/>
                <w:bCs w:val="0"/>
                <w:color w:val="000000"/>
                <w:sz w:val="24"/>
                <w:lang w:val="en-US" w:eastAsia="zh-CN"/>
              </w:rPr>
            </w:pPr>
          </w:p>
        </w:tc>
      </w:tr>
      <w:tr w14:paraId="57B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816" w:type="dxa"/>
            <w:shd w:val="clear" w:color="auto" w:fill="auto"/>
          </w:tcPr>
          <w:p w14:paraId="23D3B96C">
            <w:pPr>
              <w:adjustRightInd w:val="0"/>
              <w:snapToGrid w:val="0"/>
              <w:spacing w:line="440" w:lineRule="exact"/>
              <w:jc w:val="center"/>
              <w:rPr>
                <w:rFonts w:ascii="宋体" w:hAnsi="宋体" w:cs="宋体"/>
                <w:b/>
                <w:color w:val="000000"/>
                <w:sz w:val="24"/>
              </w:rPr>
            </w:pPr>
            <w:r>
              <w:rPr>
                <w:rFonts w:hint="eastAsia" w:ascii="宋体" w:hAnsi="宋体" w:cs="宋体"/>
                <w:b/>
                <w:color w:val="000000"/>
                <w:sz w:val="24"/>
              </w:rPr>
              <w:t>总计</w:t>
            </w:r>
          </w:p>
        </w:tc>
        <w:tc>
          <w:tcPr>
            <w:tcW w:w="5257" w:type="dxa"/>
            <w:gridSpan w:val="2"/>
            <w:shd w:val="clear" w:color="auto" w:fill="auto"/>
          </w:tcPr>
          <w:p w14:paraId="65E15A8B">
            <w:pPr>
              <w:adjustRightInd w:val="0"/>
              <w:snapToGrid w:val="0"/>
              <w:spacing w:line="440" w:lineRule="exact"/>
              <w:rPr>
                <w:rFonts w:ascii="宋体" w:hAnsi="宋体" w:cs="宋体"/>
                <w:b/>
                <w:color w:val="000000"/>
                <w:sz w:val="24"/>
              </w:rPr>
            </w:pPr>
            <w:r>
              <w:rPr>
                <w:rFonts w:hint="eastAsia" w:ascii="宋体" w:hAnsi="宋体" w:cs="宋体"/>
                <w:b/>
                <w:color w:val="000000"/>
                <w:sz w:val="24"/>
              </w:rPr>
              <w:t>￥：</w:t>
            </w:r>
            <w:r>
              <w:rPr>
                <w:rFonts w:hint="eastAsia" w:ascii="宋体" w:hAnsi="宋体" w:cs="宋体"/>
                <w:b/>
                <w:bCs w:val="0"/>
                <w:color w:val="000000"/>
                <w:sz w:val="24"/>
                <w:u w:val="single"/>
                <w:lang w:val="en-US" w:eastAsia="zh-CN"/>
              </w:rPr>
              <w:t xml:space="preserve">         </w:t>
            </w:r>
            <w:r>
              <w:rPr>
                <w:rFonts w:hint="eastAsia" w:ascii="宋体" w:hAnsi="宋体" w:cs="宋体"/>
                <w:b/>
                <w:color w:val="000000"/>
                <w:sz w:val="24"/>
              </w:rPr>
              <w:t>（人民币大写：</w:t>
            </w:r>
            <w:r>
              <w:rPr>
                <w:rFonts w:hint="eastAsia" w:ascii="宋体" w:hAnsi="宋体" w:cs="宋体"/>
                <w:b/>
                <w:bCs w:val="0"/>
                <w:color w:val="000000"/>
                <w:sz w:val="24"/>
                <w:u w:val="single"/>
                <w:lang w:val="en-US" w:eastAsia="zh-CN"/>
              </w:rPr>
              <w:t xml:space="preserve">              </w:t>
            </w:r>
            <w:r>
              <w:rPr>
                <w:rFonts w:hint="eastAsia" w:ascii="宋体" w:hAnsi="宋体" w:cs="宋体"/>
                <w:b/>
                <w:bCs w:val="0"/>
                <w:color w:val="000000"/>
                <w:sz w:val="24"/>
                <w:u w:val="none"/>
                <w:lang w:val="en-US" w:eastAsia="zh-CN"/>
              </w:rPr>
              <w:t xml:space="preserve"> </w:t>
            </w:r>
            <w:r>
              <w:rPr>
                <w:rFonts w:hint="eastAsia" w:ascii="宋体" w:hAnsi="宋体" w:cs="宋体"/>
                <w:b/>
                <w:bCs/>
                <w:color w:val="000000"/>
                <w:sz w:val="24"/>
                <w:u w:val="none"/>
              </w:rPr>
              <w:t>）</w:t>
            </w:r>
          </w:p>
        </w:tc>
      </w:tr>
    </w:tbl>
    <w:p w14:paraId="230B4339"/>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634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1BC0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91BC0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9389">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62FBD">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662FBD">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FEB2"/>
    <w:multiLevelType w:val="singleLevel"/>
    <w:tmpl w:val="84BCFEB2"/>
    <w:lvl w:ilvl="0" w:tentative="0">
      <w:start w:val="2"/>
      <w:numFmt w:val="decimal"/>
      <w:suff w:val="nothing"/>
      <w:lvlText w:val="（%1）"/>
      <w:lvlJc w:val="left"/>
    </w:lvl>
  </w:abstractNum>
  <w:abstractNum w:abstractNumId="1">
    <w:nsid w:val="950DC651"/>
    <w:multiLevelType w:val="singleLevel"/>
    <w:tmpl w:val="950DC651"/>
    <w:lvl w:ilvl="0" w:tentative="0">
      <w:start w:val="7"/>
      <w:numFmt w:val="decimal"/>
      <w:suff w:val="nothing"/>
      <w:lvlText w:val="（%1）"/>
      <w:lvlJc w:val="left"/>
    </w:lvl>
  </w:abstractNum>
  <w:abstractNum w:abstractNumId="2">
    <w:nsid w:val="BCD77245"/>
    <w:multiLevelType w:val="singleLevel"/>
    <w:tmpl w:val="BCD77245"/>
    <w:lvl w:ilvl="0" w:tentative="0">
      <w:start w:val="8"/>
      <w:numFmt w:val="decimal"/>
      <w:suff w:val="nothing"/>
      <w:lvlText w:val="%1、"/>
      <w:lvlJc w:val="left"/>
    </w:lvl>
  </w:abstractNum>
  <w:abstractNum w:abstractNumId="3">
    <w:nsid w:val="C43FB172"/>
    <w:multiLevelType w:val="singleLevel"/>
    <w:tmpl w:val="C43FB172"/>
    <w:lvl w:ilvl="0" w:tentative="0">
      <w:start w:val="1"/>
      <w:numFmt w:val="bullet"/>
      <w:lvlText w:val=""/>
      <w:lvlJc w:val="left"/>
      <w:pPr>
        <w:ind w:left="420" w:hanging="420"/>
      </w:pPr>
      <w:rPr>
        <w:rFonts w:hint="default" w:ascii="Wingdings" w:hAnsi="Wingdings"/>
      </w:rPr>
    </w:lvl>
  </w:abstractNum>
  <w:abstractNum w:abstractNumId="4">
    <w:nsid w:val="DF3C01BB"/>
    <w:multiLevelType w:val="singleLevel"/>
    <w:tmpl w:val="DF3C01BB"/>
    <w:lvl w:ilvl="0" w:tentative="0">
      <w:start w:val="1"/>
      <w:numFmt w:val="bullet"/>
      <w:lvlText w:val=""/>
      <w:lvlJc w:val="left"/>
      <w:pPr>
        <w:ind w:left="420" w:hanging="420"/>
      </w:pPr>
      <w:rPr>
        <w:rFonts w:hint="default" w:ascii="Wingdings" w:hAnsi="Wingdings"/>
      </w:rPr>
    </w:lvl>
  </w:abstractNum>
  <w:abstractNum w:abstractNumId="5">
    <w:nsid w:val="EA3C8A82"/>
    <w:multiLevelType w:val="singleLevel"/>
    <w:tmpl w:val="EA3C8A82"/>
    <w:lvl w:ilvl="0" w:tentative="0">
      <w:start w:val="1"/>
      <w:numFmt w:val="decimal"/>
      <w:lvlText w:val="%1."/>
      <w:lvlJc w:val="left"/>
      <w:pPr>
        <w:tabs>
          <w:tab w:val="left" w:pos="312"/>
        </w:tabs>
      </w:pPr>
    </w:lvl>
  </w:abstractNum>
  <w:abstractNum w:abstractNumId="6">
    <w:nsid w:val="F103644A"/>
    <w:multiLevelType w:val="singleLevel"/>
    <w:tmpl w:val="F103644A"/>
    <w:lvl w:ilvl="0" w:tentative="0">
      <w:start w:val="5"/>
      <w:numFmt w:val="chineseCounting"/>
      <w:suff w:val="nothing"/>
      <w:lvlText w:val="%1、"/>
      <w:lvlJc w:val="left"/>
      <w:rPr>
        <w:rFonts w:hint="eastAsia"/>
      </w:rPr>
    </w:lvl>
  </w:abstractNum>
  <w:abstractNum w:abstractNumId="7">
    <w:nsid w:val="27814731"/>
    <w:multiLevelType w:val="multilevel"/>
    <w:tmpl w:val="27814731"/>
    <w:lvl w:ilvl="0" w:tentative="0">
      <w:start w:val="1"/>
      <w:numFmt w:val="decimal"/>
      <w:pStyle w:val="26"/>
      <w:lvlText w:val="%1"/>
      <w:lvlJc w:val="left"/>
      <w:pPr>
        <w:ind w:left="425" w:hanging="425"/>
      </w:pPr>
      <w:rPr>
        <w:rFonts w:hint="default" w:ascii="Times New Roman" w:hAnsi="Times New Roman" w:eastAsia="宋体"/>
        <w:b/>
        <w:i w:val="0"/>
        <w:sz w:val="24"/>
      </w:rPr>
    </w:lvl>
    <w:lvl w:ilvl="1" w:tentative="0">
      <w:start w:val="1"/>
      <w:numFmt w:val="decimal"/>
      <w:pStyle w:val="28"/>
      <w:lvlText w:val="%1.%2"/>
      <w:lvlJc w:val="left"/>
      <w:pPr>
        <w:ind w:left="964" w:hanging="964"/>
      </w:pPr>
      <w:rPr>
        <w:rFonts w:hint="default" w:ascii="Times New Roman" w:hAnsi="Times New Roman" w:eastAsia="宋体"/>
        <w:b/>
        <w:i w:val="0"/>
        <w:sz w:val="24"/>
      </w:rPr>
    </w:lvl>
    <w:lvl w:ilvl="2" w:tentative="0">
      <w:start w:val="1"/>
      <w:numFmt w:val="decimal"/>
      <w:lvlText w:val="%1.%2.%3"/>
      <w:lvlJc w:val="left"/>
      <w:pPr>
        <w:ind w:left="1701" w:hanging="1134"/>
      </w:pPr>
      <w:rPr>
        <w:rFonts w:hint="default" w:ascii="Times New Roman" w:hAnsi="Times New Roman" w:eastAsia="宋体"/>
        <w:b/>
        <w:i w:val="0"/>
        <w:sz w:val="24"/>
        <w:lang w:eastAsia="zh-CN"/>
      </w:rPr>
    </w:lvl>
    <w:lvl w:ilvl="3" w:tentative="0">
      <w:start w:val="1"/>
      <w:numFmt w:val="decimal"/>
      <w:lvlText w:val="%1.%2.%3.%4"/>
      <w:lvlJc w:val="left"/>
      <w:pPr>
        <w:ind w:left="1701" w:hanging="1701"/>
      </w:pPr>
      <w:rPr>
        <w:rFonts w:hint="default" w:ascii="Times New Roman" w:hAnsi="Times New Roman" w:eastAsia="宋体"/>
        <w:b/>
        <w:i w:val="0"/>
        <w:sz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194C39D"/>
    <w:multiLevelType w:val="singleLevel"/>
    <w:tmpl w:val="3194C39D"/>
    <w:lvl w:ilvl="0" w:tentative="0">
      <w:start w:val="4"/>
      <w:numFmt w:val="chineseCounting"/>
      <w:suff w:val="nothing"/>
      <w:lvlText w:val="%1、"/>
      <w:lvlJc w:val="left"/>
      <w:rPr>
        <w:rFonts w:hint="eastAsia"/>
      </w:rPr>
    </w:lvl>
  </w:abstractNum>
  <w:abstractNum w:abstractNumId="9">
    <w:nsid w:val="507B7CB6"/>
    <w:multiLevelType w:val="singleLevel"/>
    <w:tmpl w:val="507B7CB6"/>
    <w:lvl w:ilvl="0" w:tentative="0">
      <w:start w:val="1"/>
      <w:numFmt w:val="bullet"/>
      <w:lvlText w:val=""/>
      <w:lvlJc w:val="left"/>
      <w:pPr>
        <w:ind w:left="420" w:hanging="420"/>
      </w:pPr>
      <w:rPr>
        <w:rFonts w:hint="default" w:ascii="Wingdings" w:hAnsi="Wingdings"/>
      </w:rPr>
    </w:lvl>
  </w:abstractNum>
  <w:num w:numId="1">
    <w:abstractNumId w:val="7"/>
  </w:num>
  <w:num w:numId="2">
    <w:abstractNumId w:val="4"/>
  </w:num>
  <w:num w:numId="3">
    <w:abstractNumId w:val="0"/>
  </w:num>
  <w:num w:numId="4">
    <w:abstractNumId w:val="1"/>
  </w:num>
  <w:num w:numId="5">
    <w:abstractNumId w:val="9"/>
  </w:num>
  <w:num w:numId="6">
    <w:abstractNumId w:val="6"/>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M2FkYzFjYjY2ODc3ODg0MTQ3MzQyYTQ3MmQwOTA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6B1B65"/>
    <w:rsid w:val="006B6EF1"/>
    <w:rsid w:val="00707112"/>
    <w:rsid w:val="00756ABE"/>
    <w:rsid w:val="007F4F2E"/>
    <w:rsid w:val="008E2E59"/>
    <w:rsid w:val="00A12329"/>
    <w:rsid w:val="00A1411C"/>
    <w:rsid w:val="00A76161"/>
    <w:rsid w:val="00A9698F"/>
    <w:rsid w:val="00AA6A64"/>
    <w:rsid w:val="00AB6109"/>
    <w:rsid w:val="00BA070E"/>
    <w:rsid w:val="00BA25AD"/>
    <w:rsid w:val="00C20402"/>
    <w:rsid w:val="00C30D6B"/>
    <w:rsid w:val="00CA4B6E"/>
    <w:rsid w:val="00CC3E31"/>
    <w:rsid w:val="00D5276C"/>
    <w:rsid w:val="00D53810"/>
    <w:rsid w:val="00D61C9C"/>
    <w:rsid w:val="00D97225"/>
    <w:rsid w:val="00DA1584"/>
    <w:rsid w:val="00DF1205"/>
    <w:rsid w:val="00E2419D"/>
    <w:rsid w:val="00EA6A94"/>
    <w:rsid w:val="00ED2DBC"/>
    <w:rsid w:val="00ED34D6"/>
    <w:rsid w:val="00F03995"/>
    <w:rsid w:val="00F424E5"/>
    <w:rsid w:val="00F47FAC"/>
    <w:rsid w:val="00F60229"/>
    <w:rsid w:val="01064C9A"/>
    <w:rsid w:val="015B4FE6"/>
    <w:rsid w:val="016D487D"/>
    <w:rsid w:val="031211BD"/>
    <w:rsid w:val="03AC34EE"/>
    <w:rsid w:val="03D41080"/>
    <w:rsid w:val="040522EB"/>
    <w:rsid w:val="04294F27"/>
    <w:rsid w:val="04333FF8"/>
    <w:rsid w:val="044A0997"/>
    <w:rsid w:val="05033049"/>
    <w:rsid w:val="054E09BE"/>
    <w:rsid w:val="06085DA7"/>
    <w:rsid w:val="065B5A88"/>
    <w:rsid w:val="095742E5"/>
    <w:rsid w:val="09A777B0"/>
    <w:rsid w:val="0A645626"/>
    <w:rsid w:val="0B093D05"/>
    <w:rsid w:val="0BA01302"/>
    <w:rsid w:val="0BB47D4A"/>
    <w:rsid w:val="0C3F4A8A"/>
    <w:rsid w:val="0DF32AFB"/>
    <w:rsid w:val="0F1F1768"/>
    <w:rsid w:val="0F2440B1"/>
    <w:rsid w:val="0F3B1FB3"/>
    <w:rsid w:val="0F9811B3"/>
    <w:rsid w:val="0FEB5787"/>
    <w:rsid w:val="100D6C7B"/>
    <w:rsid w:val="11BC2874"/>
    <w:rsid w:val="11DD3E0C"/>
    <w:rsid w:val="120F7985"/>
    <w:rsid w:val="15602773"/>
    <w:rsid w:val="15FF01DE"/>
    <w:rsid w:val="16267C99"/>
    <w:rsid w:val="16796F96"/>
    <w:rsid w:val="17E579B0"/>
    <w:rsid w:val="180E03D6"/>
    <w:rsid w:val="187F44D4"/>
    <w:rsid w:val="18CD08EC"/>
    <w:rsid w:val="193957B5"/>
    <w:rsid w:val="19A87D10"/>
    <w:rsid w:val="1A78230D"/>
    <w:rsid w:val="1B5238E3"/>
    <w:rsid w:val="1C14054C"/>
    <w:rsid w:val="1C645477"/>
    <w:rsid w:val="1CE1063D"/>
    <w:rsid w:val="1EFC27C7"/>
    <w:rsid w:val="1FB9234D"/>
    <w:rsid w:val="201069E8"/>
    <w:rsid w:val="20B1292F"/>
    <w:rsid w:val="21787096"/>
    <w:rsid w:val="228156AC"/>
    <w:rsid w:val="22AD2D70"/>
    <w:rsid w:val="22B83BEE"/>
    <w:rsid w:val="22EC7A67"/>
    <w:rsid w:val="235A7F80"/>
    <w:rsid w:val="240E1061"/>
    <w:rsid w:val="24576CC0"/>
    <w:rsid w:val="247B3426"/>
    <w:rsid w:val="25F56F08"/>
    <w:rsid w:val="267F1F96"/>
    <w:rsid w:val="26CD1546"/>
    <w:rsid w:val="27147861"/>
    <w:rsid w:val="272A6FE5"/>
    <w:rsid w:val="27E470D0"/>
    <w:rsid w:val="28425D08"/>
    <w:rsid w:val="28A10C81"/>
    <w:rsid w:val="28AB1AFF"/>
    <w:rsid w:val="28C9580C"/>
    <w:rsid w:val="298168A1"/>
    <w:rsid w:val="29954C89"/>
    <w:rsid w:val="2A32072A"/>
    <w:rsid w:val="2A682F67"/>
    <w:rsid w:val="2A9463AF"/>
    <w:rsid w:val="2B1A665C"/>
    <w:rsid w:val="2C365B84"/>
    <w:rsid w:val="2D24719C"/>
    <w:rsid w:val="2D915768"/>
    <w:rsid w:val="2DAA4A7C"/>
    <w:rsid w:val="2DB664B0"/>
    <w:rsid w:val="2DBF063F"/>
    <w:rsid w:val="2EBF4557"/>
    <w:rsid w:val="2F923A19"/>
    <w:rsid w:val="311436B1"/>
    <w:rsid w:val="313C3C3D"/>
    <w:rsid w:val="315E0057"/>
    <w:rsid w:val="319149B8"/>
    <w:rsid w:val="31FC517A"/>
    <w:rsid w:val="32231A2F"/>
    <w:rsid w:val="322841C1"/>
    <w:rsid w:val="32BB2DC4"/>
    <w:rsid w:val="33377C7F"/>
    <w:rsid w:val="338673F1"/>
    <w:rsid w:val="33B660C5"/>
    <w:rsid w:val="33D60378"/>
    <w:rsid w:val="33E04D53"/>
    <w:rsid w:val="36AC575C"/>
    <w:rsid w:val="37CE0E6C"/>
    <w:rsid w:val="37E00A3D"/>
    <w:rsid w:val="37E84FE9"/>
    <w:rsid w:val="394A0EC1"/>
    <w:rsid w:val="39873312"/>
    <w:rsid w:val="39C63CC4"/>
    <w:rsid w:val="3A4968AB"/>
    <w:rsid w:val="3A804B9A"/>
    <w:rsid w:val="3B351059"/>
    <w:rsid w:val="3BD038FF"/>
    <w:rsid w:val="3CC33464"/>
    <w:rsid w:val="3D344362"/>
    <w:rsid w:val="3D3C471B"/>
    <w:rsid w:val="3E1201FF"/>
    <w:rsid w:val="3E9B56FA"/>
    <w:rsid w:val="3EE55913"/>
    <w:rsid w:val="3F03686B"/>
    <w:rsid w:val="3FE13991"/>
    <w:rsid w:val="408677D1"/>
    <w:rsid w:val="40CF189E"/>
    <w:rsid w:val="4128214E"/>
    <w:rsid w:val="41434A9F"/>
    <w:rsid w:val="4221072B"/>
    <w:rsid w:val="42336996"/>
    <w:rsid w:val="42380450"/>
    <w:rsid w:val="42A67825"/>
    <w:rsid w:val="43803E5D"/>
    <w:rsid w:val="439475EC"/>
    <w:rsid w:val="45CB4EB8"/>
    <w:rsid w:val="466E1100"/>
    <w:rsid w:val="469A14BA"/>
    <w:rsid w:val="484E4529"/>
    <w:rsid w:val="49456A3E"/>
    <w:rsid w:val="4A400222"/>
    <w:rsid w:val="4AF34A92"/>
    <w:rsid w:val="4B9A7A86"/>
    <w:rsid w:val="4BA1312C"/>
    <w:rsid w:val="4CE23492"/>
    <w:rsid w:val="4D9B20F2"/>
    <w:rsid w:val="4D9D385D"/>
    <w:rsid w:val="4DAB41CC"/>
    <w:rsid w:val="4DFE42FC"/>
    <w:rsid w:val="4E3B262B"/>
    <w:rsid w:val="4F702FD7"/>
    <w:rsid w:val="4FCD667C"/>
    <w:rsid w:val="509E7A51"/>
    <w:rsid w:val="50E35A2B"/>
    <w:rsid w:val="511931FB"/>
    <w:rsid w:val="51220301"/>
    <w:rsid w:val="519C753F"/>
    <w:rsid w:val="51C25640"/>
    <w:rsid w:val="52724982"/>
    <w:rsid w:val="52FA333D"/>
    <w:rsid w:val="531B5950"/>
    <w:rsid w:val="539F20DD"/>
    <w:rsid w:val="53CB1124"/>
    <w:rsid w:val="54602923"/>
    <w:rsid w:val="553C1C95"/>
    <w:rsid w:val="55930C2F"/>
    <w:rsid w:val="56243888"/>
    <w:rsid w:val="56682C5A"/>
    <w:rsid w:val="56CD0D0F"/>
    <w:rsid w:val="580F7106"/>
    <w:rsid w:val="585E7C8F"/>
    <w:rsid w:val="58AB1524"/>
    <w:rsid w:val="58B25306"/>
    <w:rsid w:val="59D979CB"/>
    <w:rsid w:val="5A1D0200"/>
    <w:rsid w:val="5A4F7C8D"/>
    <w:rsid w:val="5ABF4E13"/>
    <w:rsid w:val="5AF32500"/>
    <w:rsid w:val="5B70610D"/>
    <w:rsid w:val="5BCD17B1"/>
    <w:rsid w:val="5C7B0CF0"/>
    <w:rsid w:val="5C970296"/>
    <w:rsid w:val="5C9A5B38"/>
    <w:rsid w:val="5CFF1E3E"/>
    <w:rsid w:val="5D2E002E"/>
    <w:rsid w:val="5D97217A"/>
    <w:rsid w:val="5F93061C"/>
    <w:rsid w:val="61B32F17"/>
    <w:rsid w:val="62126170"/>
    <w:rsid w:val="622A170C"/>
    <w:rsid w:val="62737009"/>
    <w:rsid w:val="628F1DCD"/>
    <w:rsid w:val="62A72EEC"/>
    <w:rsid w:val="62B86D17"/>
    <w:rsid w:val="63511F1B"/>
    <w:rsid w:val="63556314"/>
    <w:rsid w:val="63582CEE"/>
    <w:rsid w:val="635A7DCF"/>
    <w:rsid w:val="63685B24"/>
    <w:rsid w:val="637F3DAB"/>
    <w:rsid w:val="64CE2822"/>
    <w:rsid w:val="6516562F"/>
    <w:rsid w:val="65CD60CE"/>
    <w:rsid w:val="66044022"/>
    <w:rsid w:val="66B94E0C"/>
    <w:rsid w:val="67C33F38"/>
    <w:rsid w:val="681F45D8"/>
    <w:rsid w:val="68633281"/>
    <w:rsid w:val="691E189E"/>
    <w:rsid w:val="693C33D0"/>
    <w:rsid w:val="69EE74C3"/>
    <w:rsid w:val="6A28236B"/>
    <w:rsid w:val="6A2B4273"/>
    <w:rsid w:val="6A5C626D"/>
    <w:rsid w:val="6A674B7F"/>
    <w:rsid w:val="6A9A3A63"/>
    <w:rsid w:val="6B071468"/>
    <w:rsid w:val="6B7A2F8F"/>
    <w:rsid w:val="6BC56001"/>
    <w:rsid w:val="6BDA1F1B"/>
    <w:rsid w:val="6C3D64DF"/>
    <w:rsid w:val="6CF8288F"/>
    <w:rsid w:val="6D062D75"/>
    <w:rsid w:val="6D456146"/>
    <w:rsid w:val="6D5238C5"/>
    <w:rsid w:val="6D6D4BA2"/>
    <w:rsid w:val="6DAF51BB"/>
    <w:rsid w:val="6DD71D4B"/>
    <w:rsid w:val="6E76200A"/>
    <w:rsid w:val="6EA77C40"/>
    <w:rsid w:val="6F3B2DC5"/>
    <w:rsid w:val="6FED5B27"/>
    <w:rsid w:val="70A132D9"/>
    <w:rsid w:val="711E5129"/>
    <w:rsid w:val="722C2936"/>
    <w:rsid w:val="72E41463"/>
    <w:rsid w:val="733F6699"/>
    <w:rsid w:val="73813156"/>
    <w:rsid w:val="745075FF"/>
    <w:rsid w:val="747F3D5D"/>
    <w:rsid w:val="75061B64"/>
    <w:rsid w:val="752E2E69"/>
    <w:rsid w:val="76852F5D"/>
    <w:rsid w:val="771A36A5"/>
    <w:rsid w:val="7805248E"/>
    <w:rsid w:val="782D7408"/>
    <w:rsid w:val="787119EB"/>
    <w:rsid w:val="78B43685"/>
    <w:rsid w:val="78CF4D0E"/>
    <w:rsid w:val="7A4B626B"/>
    <w:rsid w:val="7A7C01D3"/>
    <w:rsid w:val="7C0C6C04"/>
    <w:rsid w:val="7C9D6B0F"/>
    <w:rsid w:val="7CD73DE6"/>
    <w:rsid w:val="7D0D7525"/>
    <w:rsid w:val="7D1D3EBA"/>
    <w:rsid w:val="7D893333"/>
    <w:rsid w:val="7D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w:basedOn w:val="1"/>
    <w:qFormat/>
    <w:uiPriority w:val="99"/>
    <w:rPr>
      <w:sz w:val="24"/>
      <w:lang w:val="en-GB"/>
    </w:rPr>
  </w:style>
  <w:style w:type="paragraph" w:styleId="4">
    <w:name w:val="Body Text Indent"/>
    <w:basedOn w:val="1"/>
    <w:link w:val="15"/>
    <w:qFormat/>
    <w:uiPriority w:val="0"/>
    <w:pPr>
      <w:ind w:firstLine="525"/>
    </w:pPr>
    <w:rPr>
      <w:rFonts w:asciiTheme="minorHAnsi" w:hAnsiTheme="minorHAnsi" w:eastAsiaTheme="minorEastAsia" w:cstheme="minorBidi"/>
      <w:szCs w:val="22"/>
    </w:r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annotation subject"/>
    <w:basedOn w:val="2"/>
    <w:next w:val="2"/>
    <w:link w:val="23"/>
    <w:semiHidden/>
    <w:unhideWhenUsed/>
    <w:qFormat/>
    <w:uiPriority w:val="99"/>
    <w:rPr>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正文文本缩进 字符1"/>
    <w:link w:val="4"/>
    <w:qFormat/>
    <w:uiPriority w:val="0"/>
  </w:style>
  <w:style w:type="character" w:customStyle="1" w:styleId="16">
    <w:name w:val="正文文本缩进 字符"/>
    <w:basedOn w:val="12"/>
    <w:semiHidden/>
    <w:qFormat/>
    <w:uiPriority w:val="99"/>
    <w:rPr>
      <w:rFonts w:ascii="Times New Roman" w:hAnsi="Times New Roman" w:eastAsia="宋体" w:cs="Times New Roman"/>
      <w:szCs w:val="24"/>
    </w:rPr>
  </w:style>
  <w:style w:type="paragraph" w:customStyle="1" w:styleId="17">
    <w:name w:val="Default"/>
    <w:qFormat/>
    <w:uiPriority w:val="0"/>
    <w:pPr>
      <w:widowControl w:val="0"/>
      <w:autoSpaceDE w:val="0"/>
      <w:autoSpaceDN w:val="0"/>
      <w:adjustRightInd w:val="0"/>
    </w:pPr>
    <w:rPr>
      <w:rFonts w:ascii="宋体嘃..猄." w:hAnsi="Times New Roman" w:eastAsia="宋体嘃..猄." w:cs="宋体嘃..猄."/>
      <w:color w:val="000000"/>
      <w:sz w:val="24"/>
      <w:szCs w:val="24"/>
      <w:lang w:val="en-US" w:eastAsia="zh-CN" w:bidi="ar-SA"/>
    </w:rPr>
  </w:style>
  <w:style w:type="paragraph" w:customStyle="1" w:styleId="18">
    <w:name w:val="_Style 7"/>
    <w:basedOn w:val="1"/>
    <w:next w:val="19"/>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customStyle="1" w:styleId="22">
    <w:name w:val="批注文字 字符"/>
    <w:basedOn w:val="12"/>
    <w:link w:val="2"/>
    <w:semiHidden/>
    <w:qFormat/>
    <w:uiPriority w:val="99"/>
    <w:rPr>
      <w:rFonts w:ascii="Times New Roman" w:hAnsi="Times New Roman" w:eastAsia="宋体" w:cs="Times New Roman"/>
      <w:szCs w:val="24"/>
    </w:rPr>
  </w:style>
  <w:style w:type="character" w:customStyle="1" w:styleId="23">
    <w:name w:val="批注主题 字符"/>
    <w:basedOn w:val="22"/>
    <w:link w:val="9"/>
    <w:semiHidden/>
    <w:qFormat/>
    <w:uiPriority w:val="99"/>
    <w:rPr>
      <w:rFonts w:ascii="Times New Roman" w:hAnsi="Times New Roman" w:eastAsia="宋体" w:cs="Times New Roman"/>
      <w:b/>
      <w:bCs/>
      <w:szCs w:val="24"/>
    </w:rPr>
  </w:style>
  <w:style w:type="character" w:customStyle="1" w:styleId="24">
    <w:name w:val="批注框文本 字符"/>
    <w:basedOn w:val="12"/>
    <w:link w:val="5"/>
    <w:semiHidden/>
    <w:qFormat/>
    <w:uiPriority w:val="99"/>
    <w:rPr>
      <w:rFonts w:ascii="Times New Roman" w:hAnsi="Times New Roman" w:eastAsia="宋体" w:cs="Times New Roman"/>
      <w:sz w:val="18"/>
      <w:szCs w:val="18"/>
    </w:rPr>
  </w:style>
  <w:style w:type="paragraph" w:customStyle="1" w:styleId="25">
    <w:name w:val="Para"/>
    <w:qFormat/>
    <w:uiPriority w:val="99"/>
    <w:pPr>
      <w:suppressAutoHyphens/>
      <w:spacing w:after="180" w:line="320" w:lineRule="exact"/>
    </w:pPr>
    <w:rPr>
      <w:rFonts w:ascii="Times New Roman" w:hAnsi="Times New Roman" w:eastAsia="宋体" w:cs="Times New Roman"/>
      <w:sz w:val="24"/>
      <w:lang w:val="zh-CN" w:eastAsia="zh-CN" w:bidi="ar-SA"/>
    </w:rPr>
  </w:style>
  <w:style w:type="paragraph" w:customStyle="1" w:styleId="26">
    <w:name w:val="申报标题"/>
    <w:basedOn w:val="27"/>
    <w:qFormat/>
    <w:uiPriority w:val="0"/>
    <w:pPr>
      <w:numPr>
        <w:ilvl w:val="0"/>
        <w:numId w:val="1"/>
      </w:numPr>
      <w:spacing w:before="100" w:beforeLines="100" w:after="100" w:afterLines="100"/>
      <w:ind w:firstLine="0" w:firstLineChars="0"/>
      <w:outlineLvl w:val="0"/>
    </w:pPr>
    <w:rPr>
      <w:rFonts w:hAnsi="Times New Roman"/>
      <w:b/>
    </w:rPr>
  </w:style>
  <w:style w:type="paragraph" w:customStyle="1" w:styleId="27">
    <w:name w:val="申报正文"/>
    <w:basedOn w:val="1"/>
    <w:qFormat/>
    <w:uiPriority w:val="0"/>
    <w:pPr>
      <w:adjustRightInd w:val="0"/>
      <w:snapToGrid w:val="0"/>
      <w:spacing w:before="50" w:beforeLines="50" w:after="50" w:afterLines="50" w:line="300" w:lineRule="auto"/>
      <w:ind w:firstLine="200" w:firstLineChars="200"/>
    </w:pPr>
    <w:rPr>
      <w:rFonts w:hAnsi="宋体"/>
    </w:rPr>
  </w:style>
  <w:style w:type="paragraph" w:customStyle="1" w:styleId="28">
    <w:name w:val="二级标题"/>
    <w:basedOn w:val="29"/>
    <w:qFormat/>
    <w:uiPriority w:val="0"/>
    <w:pPr>
      <w:numPr>
        <w:ilvl w:val="1"/>
        <w:numId w:val="1"/>
      </w:numPr>
      <w:tabs>
        <w:tab w:val="left" w:pos="720"/>
      </w:tabs>
      <w:adjustRightInd w:val="0"/>
      <w:snapToGrid w:val="0"/>
      <w:spacing w:before="326" w:beforeLines="100" w:after="326" w:afterLines="100" w:line="300" w:lineRule="auto"/>
      <w:ind w:left="1144"/>
      <w:outlineLvl w:val="1"/>
    </w:pPr>
    <w:rPr>
      <w:rFonts w:eastAsia="宋体"/>
      <w:b/>
      <w:sz w:val="24"/>
    </w:rPr>
  </w:style>
  <w:style w:type="paragraph" w:customStyle="1" w:styleId="29">
    <w:name w:val="样式1"/>
    <w:basedOn w:val="30"/>
    <w:qFormat/>
    <w:uiPriority w:val="0"/>
    <w:pPr>
      <w:tabs>
        <w:tab w:val="left" w:pos="720"/>
      </w:tabs>
    </w:pPr>
    <w:rPr>
      <w:b w:val="0"/>
      <w:caps w:val="0"/>
    </w:rPr>
  </w:style>
  <w:style w:type="paragraph" w:customStyle="1" w:styleId="30">
    <w:name w:val="Heading1nonum"/>
    <w:basedOn w:val="31"/>
    <w:qFormat/>
    <w:uiPriority w:val="0"/>
    <w:pPr>
      <w:tabs>
        <w:tab w:val="left" w:pos="720"/>
      </w:tabs>
    </w:pPr>
  </w:style>
  <w:style w:type="paragraph" w:customStyle="1" w:styleId="31">
    <w:name w:val="Heading1notoc"/>
    <w:basedOn w:val="1"/>
    <w:next w:val="25"/>
    <w:qFormat/>
    <w:uiPriority w:val="0"/>
    <w:pPr>
      <w:tabs>
        <w:tab w:val="left" w:pos="720"/>
      </w:tabs>
      <w:ind w:left="720" w:hanging="720"/>
    </w:pPr>
    <w:rPr>
      <w:rFonts w:eastAsia="Times New Roman"/>
      <w:b/>
      <w:caps/>
      <w:sz w:val="32"/>
    </w:rPr>
  </w:style>
  <w:style w:type="paragraph" w:customStyle="1" w:styleId="32">
    <w:name w:val="！正文"/>
    <w:basedOn w:val="1"/>
    <w:qFormat/>
    <w:uiPriority w:val="0"/>
    <w:pPr>
      <w:spacing w:line="360" w:lineRule="auto"/>
      <w:ind w:firstLine="480" w:firstLineChars="200"/>
    </w:pPr>
    <w:rPr>
      <w:rFonts w:hAnsi="宋体"/>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_Style 5"/>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2328</Words>
  <Characters>2672</Characters>
  <Lines>110</Lines>
  <Paragraphs>31</Paragraphs>
  <TotalTime>7</TotalTime>
  <ScaleCrop>false</ScaleCrop>
  <LinksUpToDate>false</LinksUpToDate>
  <CharactersWithSpaces>2858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2023-06-06T02:25:00Z</dcterms:created>
  <dc:creator>席 珊珊</dc:creator>
  <cp:lastModifiedBy>风</cp:lastModifiedBy>
  <dcterms:modified xsi:type="dcterms:W3CDTF">2025-08-13T09:23:37Z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6CC429F11642498685A64DF5B85686C5_13</vt:lpwstr>
  </property>
  <property fmtid="{D5CDD505-2E9C-101B-9397-08002B2CF9AE}" pid="4" name="KSOTemplateDocerSaveRecord">
    <vt:lpwstr>eyJoZGlkIjoiYTNhYjE4ZDRmMWI2Y2ZkNTFlNGQ3NmFmYzE4NGZkZmQiLCJ1c2VySWQiOiIyNTIwNDA3NDQifQ==</vt:lpwstr>
  </property>
</Properties>
</file>